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A3104">
      <w:pPr>
        <w:spacing w:line="640" w:lineRule="exact"/>
        <w:jc w:val="center"/>
        <w:rPr>
          <w:rFonts w:ascii="Times New Roman" w:hAnsi="Times New Roman" w:eastAsia="方正小标宋_GBK" w:cs="Times New Roman"/>
          <w:sz w:val="44"/>
          <w:szCs w:val="44"/>
          <w:shd w:val="clear" w:color="auto" w:fill="FFFFFF"/>
        </w:rPr>
      </w:pPr>
      <w:r>
        <w:rPr>
          <w:rFonts w:ascii="Times New Roman" w:hAnsi="Times New Roman" w:eastAsia="方正小标宋_GBK" w:cs="Times New Roman"/>
          <w:sz w:val="44"/>
          <w:szCs w:val="44"/>
          <w:shd w:val="clear" w:color="auto" w:fill="FFFFFF"/>
        </w:rPr>
        <w:t>教育科学学院2025年工作总结</w:t>
      </w:r>
    </w:p>
    <w:p w14:paraId="068D5672">
      <w:pPr>
        <w:spacing w:line="560" w:lineRule="exact"/>
        <w:ind w:firstLine="640" w:firstLineChars="200"/>
        <w:rPr>
          <w:rFonts w:ascii="Times New Roman" w:hAnsi="Times New Roman" w:eastAsia="仿宋_GB2312" w:cs="Times New Roman"/>
          <w:sz w:val="32"/>
          <w:szCs w:val="32"/>
        </w:rPr>
      </w:pPr>
    </w:p>
    <w:p w14:paraId="7B3C05A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2025年，教育科学学院在学校党委、行政的坚强领导与科学部署下，在各职能部门及兄弟学院的大力支持下，以习近平新时代中国特色社会主义思想为行动指南，始终把党的政治建设摆在统领地位，紧密围绕立德树人根本任务，持续深化“全省党建工作标杆院系”建设内涵，团结带领全院师生锐意进取、实干担当，推动学院各项事业持续高质量发展，在党的建设、人才培养、科学研究、社会服务等方面取得了一系列新的突破与进展。</w:t>
      </w:r>
      <w:bookmarkStart w:id="0" w:name="OLE_LINK2"/>
    </w:p>
    <w:p w14:paraId="63D28DBA">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学院坚持以高质量党建引领事业高质量发展，各项重点工作协同推进、成效显著。</w:t>
      </w:r>
      <w:r>
        <w:rPr>
          <w:rFonts w:hint="eastAsia" w:ascii="Times New Roman" w:hAnsi="Times New Roman" w:eastAsia="仿宋_GB2312" w:cs="Times New Roman"/>
          <w:b/>
          <w:bCs/>
          <w:sz w:val="32"/>
          <w:szCs w:val="32"/>
        </w:rPr>
        <w:t>党建引领凝心铸魂。</w:t>
      </w:r>
      <w:r>
        <w:rPr>
          <w:rFonts w:hint="eastAsia" w:ascii="Times New Roman" w:hAnsi="Times New Roman" w:eastAsia="仿宋_GB2312" w:cs="Times New Roman"/>
          <w:sz w:val="32"/>
          <w:szCs w:val="32"/>
        </w:rPr>
        <w:t>持续巩固全省党建工作标杆院系培育建设成果，积极申报全国党建工作标杆院系；获江苏高校党建工作创新案例活动创新类一等次。</w:t>
      </w:r>
      <w:r>
        <w:rPr>
          <w:rFonts w:hint="eastAsia" w:ascii="Times New Roman" w:hAnsi="Times New Roman" w:eastAsia="仿宋_GB2312" w:cs="Times New Roman"/>
          <w:b/>
          <w:bCs/>
          <w:sz w:val="32"/>
          <w:szCs w:val="32"/>
        </w:rPr>
        <w:t>学科建设提质增量。</w:t>
      </w:r>
      <w:r>
        <w:rPr>
          <w:rFonts w:hint="eastAsia" w:ascii="Times New Roman" w:hAnsi="Times New Roman" w:eastAsia="仿宋_GB2312" w:cs="Times New Roman"/>
          <w:sz w:val="32"/>
          <w:szCs w:val="32"/>
        </w:rPr>
        <w:t>教育学、应用心理两个培育点建设目标高标准达成。科研工作取得新突破，全年获批国家级项目2项、省部级项目5项；发表高水平学术论文</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7篇，校引导出版社出版专著4部；获江苏省哲学社会科学优秀成果奖一等奖、二等奖各1项；高水平举办“智能时代家校社协同教育的挑战与机遇”等学术活动。</w:t>
      </w:r>
      <w:r>
        <w:rPr>
          <w:rFonts w:hint="eastAsia" w:ascii="Times New Roman" w:hAnsi="Times New Roman" w:eastAsia="仿宋_GB2312" w:cs="Times New Roman"/>
          <w:b/>
          <w:bCs/>
          <w:sz w:val="32"/>
          <w:szCs w:val="32"/>
        </w:rPr>
        <w:t>师资队伍稳步加强。</w:t>
      </w:r>
      <w:r>
        <w:rPr>
          <w:rFonts w:hint="eastAsia" w:ascii="Times New Roman" w:hAnsi="Times New Roman" w:eastAsia="仿宋_GB2312" w:cs="Times New Roman"/>
          <w:sz w:val="32"/>
          <w:szCs w:val="32"/>
        </w:rPr>
        <w:t>2人分别获2025年江苏高校“青蓝工程”中青年学术带头人和优秀青年骨干教师。</w:t>
      </w:r>
      <w:r>
        <w:rPr>
          <w:rFonts w:hint="eastAsia" w:ascii="Times New Roman" w:hAnsi="Times New Roman" w:eastAsia="仿宋_GB2312" w:cs="Times New Roman"/>
          <w:b/>
          <w:bCs/>
          <w:sz w:val="32"/>
          <w:szCs w:val="32"/>
        </w:rPr>
        <w:t>教学工作扎实推进。</w:t>
      </w:r>
      <w:r>
        <w:rPr>
          <w:rFonts w:hint="eastAsia" w:ascii="Times New Roman" w:hAnsi="Times New Roman" w:eastAsia="仿宋_GB2312" w:cs="Times New Roman"/>
          <w:b w:val="0"/>
          <w:bCs w:val="0"/>
          <w:sz w:val="32"/>
          <w:szCs w:val="32"/>
        </w:rPr>
        <w:t>被评为本科教育教学审核评估工作先进集体。</w:t>
      </w:r>
      <w:r>
        <w:rPr>
          <w:rFonts w:hint="eastAsia" w:ascii="Times New Roman" w:hAnsi="Times New Roman" w:eastAsia="仿宋_GB2312" w:cs="Times New Roman"/>
          <w:sz w:val="32"/>
          <w:szCs w:val="32"/>
        </w:rPr>
        <w:t>获批省学位与研究生教育教学改革重点课题和省高等教育教学改革研究课题各1项，获省微课教学比赛二等奖1项。</w:t>
      </w:r>
      <w:r>
        <w:rPr>
          <w:rFonts w:hint="eastAsia" w:ascii="Times New Roman" w:hAnsi="Times New Roman" w:eastAsia="仿宋_GB2312" w:cs="Times New Roman"/>
          <w:b/>
          <w:bCs/>
          <w:sz w:val="32"/>
          <w:szCs w:val="32"/>
        </w:rPr>
        <w:t>人才培养成果丰硕。</w:t>
      </w:r>
      <w:r>
        <w:rPr>
          <w:rFonts w:hint="eastAsia" w:ascii="Times New Roman" w:hAnsi="Times New Roman" w:eastAsia="仿宋_GB2312" w:cs="Times New Roman"/>
          <w:sz w:val="32"/>
          <w:szCs w:val="32"/>
        </w:rPr>
        <w:t>获省师范生教学基本功大赛一等奖7项（全校20项），长三角教学基本功大赛二等奖1项，第十九届“挑战杯”全国大学生课外学术科技作品竞赛省赛一等奖，2个实践团队入选全国大学生暑期实践重点团队。</w:t>
      </w:r>
      <w:r>
        <w:rPr>
          <w:rFonts w:hint="eastAsia" w:ascii="Times New Roman" w:hAnsi="Times New Roman" w:eastAsia="仿宋_GB2312" w:cs="Times New Roman"/>
          <w:b/>
          <w:bCs/>
          <w:sz w:val="32"/>
          <w:szCs w:val="32"/>
        </w:rPr>
        <w:t>校地合作持续深化。</w:t>
      </w:r>
      <w:r>
        <w:rPr>
          <w:rFonts w:hint="eastAsia" w:ascii="Times New Roman" w:hAnsi="Times New Roman" w:eastAsia="仿宋_GB2312" w:cs="Times New Roman"/>
          <w:sz w:val="32"/>
          <w:szCs w:val="32"/>
        </w:rPr>
        <w:t>与盐城市第一小学、响水县教育局、盐都区图书馆合作共建，服务能力显著增强。2项咨政报告分别获省委主要领导和省人大常委会副主任肯定性批示。</w:t>
      </w:r>
    </w:p>
    <w:bookmarkEnd w:id="0"/>
    <w:p w14:paraId="6D94115A">
      <w:pPr>
        <w:pStyle w:val="2"/>
        <w:keepNext w:val="0"/>
        <w:keepLines w:val="0"/>
        <w:ind w:firstLine="640"/>
        <w:rPr>
          <w:rFonts w:cs="Times New Roman"/>
          <w:szCs w:val="32"/>
        </w:rPr>
      </w:pPr>
      <w:r>
        <w:rPr>
          <w:rFonts w:cs="Times New Roman"/>
          <w:szCs w:val="32"/>
        </w:rPr>
        <w:t>一、党建工作</w:t>
      </w:r>
    </w:p>
    <w:p w14:paraId="0C46ED01">
      <w:pPr>
        <w:pStyle w:val="3"/>
        <w:keepNext w:val="0"/>
        <w:keepLines w:val="0"/>
        <w:rPr>
          <w:rFonts w:cs="Times New Roman"/>
          <w:b/>
          <w:bCs w:val="0"/>
        </w:rPr>
      </w:pPr>
      <w:r>
        <w:rPr>
          <w:rFonts w:cs="Times New Roman"/>
          <w:b/>
          <w:bCs w:val="0"/>
        </w:rPr>
        <w:t>（一）增强政治功能，切实加强党的全面领导</w:t>
      </w:r>
    </w:p>
    <w:p w14:paraId="78610692">
      <w:pPr>
        <w:pStyle w:val="4"/>
        <w:keepNext w:val="0"/>
        <w:keepLines w:val="0"/>
        <w:rPr>
          <w:rFonts w:cs="Times New Roman"/>
        </w:rPr>
      </w:pPr>
      <w:r>
        <w:rPr>
          <w:rFonts w:cs="Times New Roman"/>
        </w:rPr>
        <w:t>1. 强化政治引领，持续深化理论武装</w:t>
      </w:r>
    </w:p>
    <w:p w14:paraId="74F0C2CF">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坚持把政治建设摆在首位。</w:t>
      </w:r>
      <w:r>
        <w:rPr>
          <w:rFonts w:ascii="Times New Roman" w:hAnsi="Times New Roman" w:eastAsia="仿宋_GB2312" w:cs="Times New Roman"/>
          <w:sz w:val="32"/>
          <w:szCs w:val="32"/>
        </w:rPr>
        <w:t>贯彻执行民主集中制，认真落实党政共同负责制。制定并严格执行《教育科学学院党委会会议议事规则》《教育科学学院党政联席会议议事规则》，严格按照规定的议事范围、决策程序开展工作。本</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累计召开党委会</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次、党政联席会议</w:t>
      </w:r>
      <w:r>
        <w:rPr>
          <w:rFonts w:hint="eastAsia" w:ascii="Times New Roman" w:hAnsi="Times New Roman" w:eastAsia="仿宋_GB2312" w:cs="Times New Roman"/>
          <w:sz w:val="32"/>
          <w:szCs w:val="32"/>
        </w:rPr>
        <w:t>28</w:t>
      </w:r>
      <w:r>
        <w:rPr>
          <w:rFonts w:ascii="Times New Roman" w:hAnsi="Times New Roman" w:eastAsia="仿宋_GB2312" w:cs="Times New Roman"/>
          <w:sz w:val="32"/>
          <w:szCs w:val="32"/>
        </w:rPr>
        <w:t>次，着力破解学院发展中的重点难点问题。</w:t>
      </w:r>
      <w:r>
        <w:rPr>
          <w:rFonts w:ascii="Times New Roman" w:hAnsi="Times New Roman" w:eastAsia="仿宋_GB2312" w:cs="Times New Roman"/>
          <w:b/>
          <w:bCs/>
          <w:sz w:val="32"/>
          <w:szCs w:val="32"/>
        </w:rPr>
        <w:t>持续深化理论武装。</w:t>
      </w:r>
      <w:r>
        <w:rPr>
          <w:rFonts w:ascii="Times New Roman" w:hAnsi="Times New Roman" w:eastAsia="仿宋_GB2312" w:cs="Times New Roman"/>
          <w:sz w:val="32"/>
          <w:szCs w:val="32"/>
        </w:rPr>
        <w:t>坚持把学习习近平总书记的最新讲话和重要指示批示精神作为“第一议题”，常态化开展深入贯彻中央八项规定精神学习教育。全年扎实开展党委理论学习中心组学习会</w:t>
      </w:r>
      <w:r>
        <w:rPr>
          <w:rFonts w:hint="eastAsia" w:ascii="Times New Roman" w:hAnsi="Times New Roman" w:eastAsia="仿宋_GB2312" w:cs="Times New Roman"/>
          <w:sz w:val="32"/>
          <w:szCs w:val="32"/>
        </w:rPr>
        <w:t>16</w:t>
      </w:r>
      <w:r>
        <w:rPr>
          <w:rFonts w:ascii="Times New Roman" w:hAnsi="Times New Roman" w:eastAsia="仿宋_GB2312" w:cs="Times New Roman"/>
          <w:sz w:val="32"/>
          <w:szCs w:val="32"/>
        </w:rPr>
        <w:t>次、教职工政治理论学习会14次，围绕立德树人、学科建设、教学科研等主责主业开展交流讨论</w:t>
      </w:r>
      <w:r>
        <w:rPr>
          <w:rFonts w:hint="eastAsia" w:ascii="Times New Roman" w:hAnsi="Times New Roman" w:eastAsia="仿宋_GB2312" w:cs="Times New Roman"/>
          <w:sz w:val="32"/>
          <w:szCs w:val="32"/>
        </w:rPr>
        <w:t>10</w:t>
      </w:r>
      <w:r>
        <w:rPr>
          <w:rFonts w:ascii="Times New Roman" w:hAnsi="Times New Roman" w:eastAsia="仿宋_GB2312" w:cs="Times New Roman"/>
          <w:sz w:val="32"/>
          <w:szCs w:val="32"/>
        </w:rPr>
        <w:t>次，推动党的创新理论入脑入心、指导实践。</w:t>
      </w:r>
    </w:p>
    <w:p w14:paraId="53A28B1D">
      <w:pPr>
        <w:pStyle w:val="4"/>
        <w:keepNext w:val="0"/>
        <w:keepLines w:val="0"/>
        <w:rPr>
          <w:rFonts w:cs="Times New Roman"/>
        </w:rPr>
      </w:pPr>
      <w:r>
        <w:rPr>
          <w:rFonts w:cs="Times New Roman"/>
        </w:rPr>
        <w:t>2. 强化党规党纪，增强学习教育实效</w:t>
      </w:r>
    </w:p>
    <w:p w14:paraId="1EF9166D">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“学”字当头，在深学细悟中筑牢信仰根基。</w:t>
      </w:r>
      <w:r>
        <w:rPr>
          <w:rFonts w:ascii="Times New Roman" w:hAnsi="Times New Roman" w:eastAsia="仿宋_GB2312" w:cs="Times New Roman"/>
          <w:sz w:val="32"/>
          <w:szCs w:val="32"/>
        </w:rPr>
        <w:t>开展深入贯彻中央八项规定精神学习教育专题读书班11次，深入学习习近平总书记关于党的作风建设的重要论述，全面领会中央八项规定及其实施细则精神，观看警示教育片，剖析违纪典例，</w:t>
      </w:r>
      <w:r>
        <w:rPr>
          <w:rFonts w:hint="eastAsia" w:ascii="Times New Roman" w:hAnsi="Times New Roman" w:eastAsia="仿宋_GB2312" w:cs="Times New Roman"/>
          <w:sz w:val="32"/>
          <w:szCs w:val="32"/>
        </w:rPr>
        <w:t>赴上海市四岔河监狱开展“学思践悟守底线 担当作为树新风”警示教育活动，</w:t>
      </w:r>
      <w:r>
        <w:rPr>
          <w:rFonts w:ascii="Times New Roman" w:hAnsi="Times New Roman" w:eastAsia="仿宋_GB2312" w:cs="Times New Roman"/>
          <w:sz w:val="32"/>
          <w:szCs w:val="32"/>
        </w:rPr>
        <w:t>引导党员筑牢思想防线。</w:t>
      </w:r>
      <w:r>
        <w:rPr>
          <w:rFonts w:ascii="Times New Roman" w:hAnsi="Times New Roman" w:eastAsia="仿宋_GB2312" w:cs="Times New Roman"/>
          <w:b/>
          <w:bCs/>
          <w:sz w:val="32"/>
          <w:szCs w:val="32"/>
        </w:rPr>
        <w:t>“查”字为要，在问题查摆中校准行动方向。</w:t>
      </w:r>
      <w:r>
        <w:rPr>
          <w:rFonts w:ascii="Times New Roman" w:hAnsi="Times New Roman" w:eastAsia="仿宋_GB2312" w:cs="Times New Roman"/>
          <w:sz w:val="32"/>
          <w:szCs w:val="32"/>
        </w:rPr>
        <w:t>坚持刀刃向内，对照中央八项规定及其实施细则精神开展全方位问题查摆，形成问题清单，为整改落实锚定精准靶向。</w:t>
      </w:r>
      <w:r>
        <w:rPr>
          <w:rFonts w:ascii="Times New Roman" w:hAnsi="Times New Roman" w:eastAsia="仿宋_GB2312" w:cs="Times New Roman"/>
          <w:b/>
          <w:bCs/>
          <w:sz w:val="32"/>
          <w:szCs w:val="32"/>
        </w:rPr>
        <w:t>“改”字贯穿，在砥砺实干中推动提质增效。</w:t>
      </w:r>
      <w:r>
        <w:rPr>
          <w:rFonts w:ascii="Times New Roman" w:hAnsi="Times New Roman" w:eastAsia="仿宋_GB2312" w:cs="Times New Roman"/>
          <w:sz w:val="32"/>
          <w:szCs w:val="32"/>
        </w:rPr>
        <w:t>对查摆出的问题，逐项制定整改措施，形成集中整治台账，在真抓实干中破解发展难题，让“问题清单”转化为“成效清单”。</w:t>
      </w:r>
    </w:p>
    <w:p w14:paraId="6FCB46F2">
      <w:pPr>
        <w:pStyle w:val="4"/>
        <w:keepNext w:val="0"/>
        <w:keepLines w:val="0"/>
        <w:rPr>
          <w:rFonts w:cs="Times New Roman"/>
        </w:rPr>
      </w:pPr>
      <w:r>
        <w:rPr>
          <w:rFonts w:cs="Times New Roman"/>
        </w:rPr>
        <w:t>3. 强化政治把关，</w:t>
      </w:r>
      <w:r>
        <w:rPr>
          <w:rFonts w:hint="eastAsia" w:cs="Times New Roman"/>
        </w:rPr>
        <w:t>筑牢意识形态防线</w:t>
      </w:r>
    </w:p>
    <w:p w14:paraId="7D677AC4">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打造意识形态“防火墙”。</w:t>
      </w:r>
      <w:r>
        <w:rPr>
          <w:rFonts w:ascii="Times New Roman" w:hAnsi="Times New Roman" w:eastAsia="仿宋_GB2312" w:cs="Times New Roman"/>
          <w:sz w:val="32"/>
          <w:szCs w:val="32"/>
        </w:rPr>
        <w:t>组织签订意识形态工作责任书，每季度开展1次意识形态专题研究会，</w:t>
      </w:r>
      <w:r>
        <w:rPr>
          <w:rFonts w:hint="eastAsia" w:ascii="Times New Roman" w:hAnsi="Times New Roman" w:eastAsia="仿宋_GB2312" w:cs="Times New Roman"/>
          <w:sz w:val="32"/>
          <w:szCs w:val="32"/>
        </w:rPr>
        <w:t>常态化开展</w:t>
      </w:r>
      <w:r>
        <w:rPr>
          <w:rFonts w:ascii="Times New Roman" w:hAnsi="Times New Roman" w:eastAsia="仿宋_GB2312" w:cs="Times New Roman"/>
          <w:sz w:val="32"/>
          <w:szCs w:val="32"/>
        </w:rPr>
        <w:t>意识形态工作</w:t>
      </w:r>
      <w:r>
        <w:rPr>
          <w:rFonts w:hint="eastAsia" w:ascii="Times New Roman" w:hAnsi="Times New Roman" w:eastAsia="仿宋_GB2312" w:cs="Times New Roman"/>
          <w:sz w:val="32"/>
          <w:szCs w:val="32"/>
        </w:rPr>
        <w:t>分析研判，精准防范风险隐患</w:t>
      </w:r>
      <w:r>
        <w:rPr>
          <w:rFonts w:ascii="Times New Roman" w:hAnsi="Times New Roman" w:eastAsia="仿宋_GB2312" w:cs="Times New Roman"/>
          <w:sz w:val="32"/>
          <w:szCs w:val="32"/>
        </w:rPr>
        <w:t>。</w:t>
      </w:r>
      <w:r>
        <w:rPr>
          <w:rFonts w:ascii="Times New Roman" w:hAnsi="Times New Roman" w:eastAsia="仿宋_GB2312" w:cs="Times New Roman"/>
          <w:b/>
          <w:bCs/>
          <w:sz w:val="32"/>
          <w:szCs w:val="32"/>
        </w:rPr>
        <w:t>加固阵地建设“防护栏”。</w:t>
      </w:r>
      <w:r>
        <w:rPr>
          <w:rFonts w:ascii="Times New Roman" w:hAnsi="Times New Roman" w:eastAsia="仿宋_GB2312" w:cs="Times New Roman"/>
          <w:sz w:val="32"/>
          <w:szCs w:val="32"/>
        </w:rPr>
        <w:t>定期摸排学院网站、微信公众号等平台建设情况，严格落实信息发布审核机制。严格讲座、报告的审批管理，严格执行“一会一报”“一事一报”制度。加强课堂教学管理，严格落实“学术研究无禁区、课堂讲授守纪律、公开言论守规矩”要求，确保育人环境风清气正。</w:t>
      </w:r>
      <w:r>
        <w:rPr>
          <w:rFonts w:hint="eastAsia" w:ascii="Times New Roman" w:hAnsi="Times New Roman" w:eastAsia="仿宋_GB2312" w:cs="Times New Roman"/>
          <w:sz w:val="32"/>
          <w:szCs w:val="32"/>
        </w:rPr>
        <w:t>学院全年在党建和意识形态领域未发生任何重大问题。</w:t>
      </w:r>
    </w:p>
    <w:p w14:paraId="49C4A0CB">
      <w:pPr>
        <w:pStyle w:val="3"/>
        <w:keepNext w:val="0"/>
        <w:keepLines w:val="0"/>
        <w:rPr>
          <w:rFonts w:cs="Times New Roman"/>
          <w:b/>
          <w:bCs w:val="0"/>
        </w:rPr>
      </w:pPr>
      <w:r>
        <w:rPr>
          <w:rFonts w:cs="Times New Roman"/>
          <w:b/>
          <w:bCs w:val="0"/>
        </w:rPr>
        <w:t>（二）严密组织体系，推动基层党建提质增效</w:t>
      </w:r>
    </w:p>
    <w:p w14:paraId="35425EB5">
      <w:pPr>
        <w:pStyle w:val="4"/>
        <w:keepNext w:val="0"/>
        <w:keepLines w:val="0"/>
        <w:rPr>
          <w:rFonts w:cs="Times New Roman"/>
        </w:rPr>
      </w:pPr>
      <w:r>
        <w:rPr>
          <w:rFonts w:cs="Times New Roman"/>
        </w:rPr>
        <w:t>1. 抓好规范建设，夯实基层党组织基础</w:t>
      </w:r>
    </w:p>
    <w:p w14:paraId="31007E65">
      <w:pPr>
        <w:spacing w:line="560" w:lineRule="exact"/>
        <w:ind w:firstLine="643" w:firstLineChars="200"/>
        <w:rPr>
          <w:rFonts w:ascii="Times New Roman" w:hAnsi="Times New Roman" w:eastAsia="仿宋_GB2312" w:cs="Times New Roman"/>
          <w:sz w:val="32"/>
          <w:szCs w:val="32"/>
        </w:rPr>
      </w:pPr>
      <w:bookmarkStart w:id="1" w:name="OLE_LINK3"/>
      <w:r>
        <w:rPr>
          <w:rFonts w:ascii="Times New Roman" w:hAnsi="Times New Roman" w:eastAsia="仿宋_GB2312" w:cs="Times New Roman"/>
          <w:b/>
          <w:bCs/>
          <w:sz w:val="32"/>
          <w:szCs w:val="22"/>
        </w:rPr>
        <w:t>强基固本，推动规范化建设。</w:t>
      </w:r>
      <w:r>
        <w:rPr>
          <w:rFonts w:ascii="Times New Roman" w:hAnsi="Times New Roman" w:eastAsia="仿宋_GB2312" w:cs="Times New Roman"/>
          <w:sz w:val="32"/>
          <w:szCs w:val="32"/>
        </w:rPr>
        <w:t>严格</w:t>
      </w:r>
      <w:r>
        <w:rPr>
          <w:rFonts w:hint="eastAsia" w:ascii="Times New Roman" w:hAnsi="Times New Roman" w:eastAsia="仿宋_GB2312" w:cs="Times New Roman"/>
          <w:sz w:val="32"/>
          <w:szCs w:val="32"/>
        </w:rPr>
        <w:t>落实</w:t>
      </w:r>
      <w:r>
        <w:rPr>
          <w:rFonts w:ascii="Times New Roman" w:hAnsi="Times New Roman" w:eastAsia="仿宋_GB2312" w:cs="Times New Roman"/>
          <w:sz w:val="32"/>
          <w:szCs w:val="32"/>
        </w:rPr>
        <w:t>“三会一课”等制度，</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“三会一课”规范化、“谈心谈话”常态化、“党日活动”</w:t>
      </w:r>
      <w:r>
        <w:rPr>
          <w:rFonts w:hint="eastAsia" w:ascii="Times New Roman" w:hAnsi="Times New Roman" w:eastAsia="仿宋_GB2312" w:cs="Times New Roman"/>
          <w:sz w:val="32"/>
          <w:szCs w:val="32"/>
        </w:rPr>
        <w:t>品牌</w:t>
      </w:r>
      <w:r>
        <w:rPr>
          <w:rFonts w:ascii="Times New Roman" w:hAnsi="Times New Roman" w:eastAsia="仿宋_GB2312" w:cs="Times New Roman"/>
          <w:sz w:val="32"/>
          <w:szCs w:val="32"/>
        </w:rPr>
        <w:t>化、“作风建设”</w:t>
      </w:r>
      <w:r>
        <w:rPr>
          <w:rFonts w:hint="eastAsia" w:ascii="Times New Roman" w:hAnsi="Times New Roman" w:eastAsia="仿宋_GB2312" w:cs="Times New Roman"/>
          <w:sz w:val="32"/>
          <w:szCs w:val="32"/>
        </w:rPr>
        <w:t>长效</w:t>
      </w:r>
      <w:r>
        <w:rPr>
          <w:rFonts w:ascii="Times New Roman" w:hAnsi="Times New Roman" w:eastAsia="仿宋_GB2312" w:cs="Times New Roman"/>
          <w:sz w:val="32"/>
          <w:szCs w:val="32"/>
        </w:rPr>
        <w:t>化</w:t>
      </w:r>
      <w:r>
        <w:rPr>
          <w:rFonts w:hint="eastAsia" w:ascii="Times New Roman" w:hAnsi="Times New Roman" w:eastAsia="仿宋_GB2312" w:cs="Times New Roman"/>
          <w:sz w:val="32"/>
          <w:szCs w:val="32"/>
        </w:rPr>
        <w:t>为抓手</w:t>
      </w:r>
      <w:r>
        <w:rPr>
          <w:rFonts w:ascii="Times New Roman" w:hAnsi="Times New Roman" w:eastAsia="仿宋_GB2312" w:cs="Times New Roman"/>
          <w:sz w:val="32"/>
          <w:szCs w:val="32"/>
        </w:rPr>
        <w:t>，</w:t>
      </w:r>
      <w:r>
        <w:rPr>
          <w:rFonts w:ascii="Times New Roman" w:hAnsi="Times New Roman" w:eastAsia="仿宋_GB2312" w:cs="Times New Roman"/>
          <w:sz w:val="32"/>
          <w:szCs w:val="22"/>
        </w:rPr>
        <w:t>推动党内政治生活从“做了”向“做好”升级。</w:t>
      </w:r>
      <w:r>
        <w:rPr>
          <w:rFonts w:ascii="Times New Roman" w:hAnsi="Times New Roman" w:eastAsia="仿宋_GB2312" w:cs="Times New Roman"/>
          <w:b/>
          <w:bCs/>
          <w:sz w:val="32"/>
          <w:szCs w:val="22"/>
        </w:rPr>
        <w:t>强化管理，</w:t>
      </w:r>
      <w:r>
        <w:rPr>
          <w:rFonts w:hint="eastAsia" w:ascii="Times New Roman" w:hAnsi="Times New Roman" w:eastAsia="仿宋_GB2312" w:cs="Times New Roman"/>
          <w:b/>
          <w:bCs/>
          <w:sz w:val="32"/>
          <w:szCs w:val="32"/>
        </w:rPr>
        <w:t>夯实党建工作基础</w:t>
      </w:r>
      <w:r>
        <w:rPr>
          <w:rFonts w:ascii="Times New Roman" w:hAnsi="Times New Roman" w:eastAsia="仿宋_GB2312" w:cs="Times New Roman"/>
          <w:b/>
          <w:bCs/>
          <w:sz w:val="32"/>
          <w:szCs w:val="32"/>
        </w:rPr>
        <w:t>。</w:t>
      </w:r>
      <w:r>
        <w:rPr>
          <w:rFonts w:ascii="Times New Roman" w:hAnsi="Times New Roman" w:eastAsia="仿宋_GB2312" w:cs="Times New Roman"/>
          <w:sz w:val="32"/>
          <w:szCs w:val="32"/>
        </w:rPr>
        <w:t>构建“党委主责、支部主抓、党员主体”工作机制，</w:t>
      </w:r>
      <w:r>
        <w:rPr>
          <w:rFonts w:hint="eastAsia" w:ascii="Times New Roman" w:hAnsi="Times New Roman" w:eastAsia="仿宋_GB2312" w:cs="Times New Roman"/>
          <w:sz w:val="32"/>
          <w:szCs w:val="32"/>
        </w:rPr>
        <w:t>抓实支部日常建设与党员培养管理，压实层级责任、激活主体活力，推动基层党建从“规范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向“提质”升级。</w:t>
      </w:r>
      <w:r>
        <w:rPr>
          <w:rFonts w:ascii="Times New Roman" w:hAnsi="Times New Roman" w:eastAsia="仿宋_GB2312" w:cs="Times New Roman"/>
          <w:b/>
          <w:bCs/>
          <w:sz w:val="32"/>
          <w:szCs w:val="22"/>
        </w:rPr>
        <w:t>精准赋能，</w:t>
      </w:r>
      <w:r>
        <w:rPr>
          <w:rFonts w:hint="eastAsia" w:ascii="Times New Roman" w:hAnsi="Times New Roman" w:eastAsia="仿宋_GB2312" w:cs="Times New Roman"/>
          <w:b/>
          <w:bCs/>
          <w:sz w:val="32"/>
          <w:szCs w:val="22"/>
        </w:rPr>
        <w:t>强化党建引领服务</w:t>
      </w:r>
      <w:r>
        <w:rPr>
          <w:rFonts w:ascii="Times New Roman" w:hAnsi="Times New Roman" w:eastAsia="仿宋_GB2312" w:cs="Times New Roman"/>
          <w:b/>
          <w:bCs/>
          <w:sz w:val="32"/>
          <w:szCs w:val="22"/>
        </w:rPr>
        <w:t>。</w:t>
      </w:r>
      <w:r>
        <w:rPr>
          <w:rFonts w:hint="eastAsia" w:ascii="Times New Roman" w:hAnsi="Times New Roman" w:eastAsia="仿宋_GB2312" w:cs="Times New Roman"/>
          <w:sz w:val="32"/>
          <w:szCs w:val="22"/>
        </w:rPr>
        <w:t>扎实</w:t>
      </w:r>
      <w:r>
        <w:rPr>
          <w:rFonts w:ascii="Times New Roman" w:hAnsi="Times New Roman" w:eastAsia="仿宋_GB2312" w:cs="Times New Roman"/>
          <w:sz w:val="32"/>
          <w:szCs w:val="22"/>
        </w:rPr>
        <w:t>落实领导班子深入联系支部</w:t>
      </w:r>
      <w:r>
        <w:rPr>
          <w:rFonts w:hint="eastAsia" w:ascii="Times New Roman" w:hAnsi="Times New Roman" w:eastAsia="仿宋_GB2312" w:cs="Times New Roman"/>
          <w:sz w:val="32"/>
          <w:szCs w:val="22"/>
        </w:rPr>
        <w:t>、联系师生</w:t>
      </w:r>
      <w:r>
        <w:rPr>
          <w:rFonts w:ascii="Times New Roman" w:hAnsi="Times New Roman" w:eastAsia="仿宋_GB2312" w:cs="Times New Roman"/>
          <w:sz w:val="32"/>
          <w:szCs w:val="22"/>
        </w:rPr>
        <w:t>制度，班子成员每人</w:t>
      </w:r>
      <w:r>
        <w:rPr>
          <w:rFonts w:hint="eastAsia" w:ascii="Times New Roman" w:hAnsi="Times New Roman" w:eastAsia="仿宋_GB2312" w:cs="Times New Roman"/>
          <w:sz w:val="32"/>
          <w:szCs w:val="22"/>
        </w:rPr>
        <w:t>定点</w:t>
      </w:r>
      <w:r>
        <w:rPr>
          <w:rFonts w:ascii="Times New Roman" w:hAnsi="Times New Roman" w:eastAsia="仿宋_GB2312" w:cs="Times New Roman"/>
          <w:sz w:val="32"/>
          <w:szCs w:val="22"/>
        </w:rPr>
        <w:t>联系1个党支部，</w:t>
      </w:r>
      <w:r>
        <w:rPr>
          <w:rFonts w:hint="eastAsia" w:ascii="Times New Roman" w:hAnsi="Times New Roman" w:eastAsia="仿宋_GB2312" w:cs="Times New Roman"/>
          <w:sz w:val="32"/>
          <w:szCs w:val="22"/>
        </w:rPr>
        <w:t>常态化下沉一线对接需求、破解难题，推动党建成效从“到位”向“创优”升级。</w:t>
      </w:r>
    </w:p>
    <w:bookmarkEnd w:id="1"/>
    <w:p w14:paraId="6ABC7FD7">
      <w:pPr>
        <w:pStyle w:val="4"/>
        <w:keepNext w:val="0"/>
        <w:keepLines w:val="0"/>
        <w:rPr>
          <w:rFonts w:cs="Times New Roman"/>
        </w:rPr>
      </w:pPr>
      <w:r>
        <w:rPr>
          <w:rFonts w:cs="Times New Roman"/>
        </w:rPr>
        <w:t>2. 提升业务能力，建强党务工作队伍</w:t>
      </w:r>
    </w:p>
    <w:p w14:paraId="57B25DEB">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抓好支部书记“领头雁”。</w:t>
      </w:r>
      <w:r>
        <w:rPr>
          <w:rFonts w:ascii="Times New Roman" w:hAnsi="Times New Roman" w:eastAsia="仿宋_GB2312" w:cs="Times New Roman"/>
          <w:sz w:val="32"/>
          <w:szCs w:val="32"/>
        </w:rPr>
        <w:t>召开支部书记工作例会6次，开展党建领航课堂活动3次，强化政治训练和业务辅导。建设有1支校级“双带头人”教师党支部书记“强国行”专项行动重点团队，着力把教师党支部书记培养成事业发展的中坚力量。</w:t>
      </w:r>
      <w:r>
        <w:rPr>
          <w:rFonts w:ascii="Times New Roman" w:hAnsi="Times New Roman" w:eastAsia="仿宋_GB2312" w:cs="Times New Roman"/>
          <w:b/>
          <w:bCs/>
          <w:sz w:val="32"/>
          <w:szCs w:val="32"/>
        </w:rPr>
        <w:t>建好党务骨干“生力军”。</w:t>
      </w:r>
      <w:r>
        <w:rPr>
          <w:rFonts w:ascii="Times New Roman" w:hAnsi="Times New Roman" w:eastAsia="仿宋_GB2312" w:cs="Times New Roman"/>
          <w:sz w:val="32"/>
          <w:szCs w:val="32"/>
        </w:rPr>
        <w:t>构建“党建+教学”、“党建+科研”、“党建+管理”融合发展机制，推动党员在教改攻关、科研创新、管理服务中担当作为。教师党员获江苏高校“青蓝工程”中青年学术带头人</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优秀青年骨干教师，获江苏省高校微课教学比赛二等奖。</w:t>
      </w:r>
      <w:r>
        <w:rPr>
          <w:rFonts w:ascii="Times New Roman" w:hAnsi="Times New Roman" w:eastAsia="仿宋_GB2312" w:cs="Times New Roman"/>
          <w:b/>
          <w:bCs/>
          <w:sz w:val="32"/>
          <w:szCs w:val="32"/>
        </w:rPr>
        <w:t>育好师生党员“先锋队”。</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名教师党员挂职担任</w:t>
      </w:r>
      <w:r>
        <w:rPr>
          <w:rFonts w:hint="eastAsia" w:ascii="Times New Roman" w:hAnsi="Times New Roman" w:eastAsia="仿宋_GB2312" w:cs="Times New Roman"/>
          <w:sz w:val="32"/>
          <w:szCs w:val="32"/>
        </w:rPr>
        <w:t>盐城市第一小学、响水县中学等</w:t>
      </w:r>
      <w:r>
        <w:rPr>
          <w:rFonts w:ascii="Times New Roman" w:hAnsi="Times New Roman" w:eastAsia="仿宋_GB2312" w:cs="Times New Roman"/>
          <w:sz w:val="32"/>
          <w:szCs w:val="32"/>
        </w:rPr>
        <w:t>学校副校长，实现</w:t>
      </w:r>
      <w:r>
        <w:rPr>
          <w:rFonts w:hint="eastAsia" w:ascii="Times New Roman" w:hAnsi="Times New Roman" w:eastAsia="仿宋_GB2312" w:cs="Times New Roman"/>
          <w:sz w:val="32"/>
          <w:szCs w:val="32"/>
        </w:rPr>
        <w:t>高校教育资源与基础教育实践的精准对接、双向赋能</w:t>
      </w:r>
      <w:r>
        <w:rPr>
          <w:rFonts w:ascii="Times New Roman" w:hAnsi="Times New Roman" w:eastAsia="仿宋_GB2312" w:cs="Times New Roman"/>
          <w:sz w:val="32"/>
          <w:szCs w:val="32"/>
        </w:rPr>
        <w:t>。党员师生赴</w:t>
      </w:r>
      <w:r>
        <w:rPr>
          <w:rFonts w:hint="eastAsia" w:ascii="Times New Roman" w:hAnsi="Times New Roman" w:eastAsia="仿宋_GB2312" w:cs="Times New Roman"/>
          <w:sz w:val="32"/>
          <w:szCs w:val="32"/>
        </w:rPr>
        <w:t>广西、新疆</w:t>
      </w:r>
      <w:r>
        <w:rPr>
          <w:rFonts w:ascii="Times New Roman" w:hAnsi="Times New Roman" w:eastAsia="仿宋_GB2312" w:cs="Times New Roman"/>
          <w:sz w:val="32"/>
          <w:szCs w:val="32"/>
        </w:rPr>
        <w:t>支教，活动获江苏高校党建工作创新案例活动创新类一等次。</w:t>
      </w:r>
    </w:p>
    <w:p w14:paraId="7C261ACF">
      <w:pPr>
        <w:pStyle w:val="4"/>
        <w:keepNext w:val="0"/>
        <w:keepLines w:val="0"/>
        <w:rPr>
          <w:rFonts w:cs="Times New Roman"/>
        </w:rPr>
      </w:pPr>
      <w:r>
        <w:rPr>
          <w:rFonts w:cs="Times New Roman"/>
        </w:rPr>
        <w:t>3. 突出示范引领，推动党建工作提质增效</w:t>
      </w:r>
    </w:p>
    <w:p w14:paraId="3A4DC446">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抓好示范建设。</w:t>
      </w:r>
      <w:r>
        <w:rPr>
          <w:rFonts w:hint="eastAsia" w:ascii="仿宋_GB2312" w:hAnsi="仿宋_GB2312" w:eastAsia="仿宋_GB2312" w:cs="仿宋_GB2312"/>
          <w:sz w:val="32"/>
          <w:szCs w:val="32"/>
        </w:rPr>
        <w:t>以推进全省党建工作标杆院系建设、申报全国党建工作标杆院系为契机，充分发挥全国党建工作样板支部、校“双带头人”教师党支部书记工作室、校级“双带头人”教师党支部书记“强国行”专项行动重点团队和校级党建工作样板支部的示范引领作用，推进“一支部一特色一品牌”工程，推动党建品牌提质升级。“双带头人”教师党支部书记工作室创建验收获评优秀。</w:t>
      </w:r>
      <w:r>
        <w:rPr>
          <w:rFonts w:hint="eastAsia" w:ascii="仿宋_GB2312" w:hAnsi="仿宋_GB2312" w:eastAsia="仿宋_GB2312" w:cs="仿宋_GB2312"/>
          <w:b/>
          <w:bCs/>
          <w:sz w:val="32"/>
          <w:szCs w:val="32"/>
        </w:rPr>
        <w:t>搭建共建平台。</w:t>
      </w:r>
      <w:r>
        <w:rPr>
          <w:rFonts w:hint="eastAsia" w:ascii="仿宋_GB2312" w:hAnsi="仿宋_GB2312" w:eastAsia="仿宋_GB2312" w:cs="仿宋_GB2312"/>
          <w:sz w:val="32"/>
          <w:szCs w:val="32"/>
        </w:rPr>
        <w:t>与淮阴师范学院教育科学学院、南通师范高等专科学校等多家单位共建交流10次，推动形成“党建引领、团队共建、平台共筑、人才共育、成果共赢”的党建共建新格局。</w:t>
      </w:r>
      <w:r>
        <w:rPr>
          <w:rFonts w:hint="eastAsia" w:ascii="仿宋_GB2312" w:hAnsi="仿宋_GB2312" w:eastAsia="仿宋_GB2312" w:cs="仿宋_GB2312"/>
          <w:b/>
          <w:bCs/>
          <w:sz w:val="32"/>
          <w:szCs w:val="32"/>
        </w:rPr>
        <w:t>强化宣传思想文化。</w:t>
      </w:r>
      <w:r>
        <w:rPr>
          <w:rFonts w:hint="eastAsia" w:ascii="仿宋_GB2312" w:hAnsi="仿宋_GB2312" w:eastAsia="仿宋_GB2312" w:cs="仿宋_GB2312"/>
          <w:sz w:val="32"/>
          <w:szCs w:val="32"/>
        </w:rPr>
        <w:t>学院获评校2024年新闻宣传工作先进集体，学院工作获《光明日报》《中国教育报》《新华日报》等省级以上媒体报道20余次，1个项目获评校宣传思想文化工作创新项目、1项目结项获评优秀。学院承办盐城市青年教师理论宣讲风采展示活动、盐城市大学生理论宣讲风采展示活动。学生获市“青讲青听”大学生理论宣讲大赛一等奖、校新四军革命故事宣讲大赛一等奖。</w:t>
      </w:r>
    </w:p>
    <w:p w14:paraId="51307AEB">
      <w:pPr>
        <w:pStyle w:val="3"/>
        <w:keepNext w:val="0"/>
        <w:keepLines w:val="0"/>
        <w:rPr>
          <w:rFonts w:cs="Times New Roman"/>
          <w:b/>
          <w:bCs w:val="0"/>
        </w:rPr>
      </w:pPr>
      <w:r>
        <w:rPr>
          <w:rFonts w:cs="Times New Roman"/>
          <w:b/>
          <w:bCs w:val="0"/>
        </w:rPr>
        <w:t>（三）抓实教育管理，锻造党员队伍过硬素质</w:t>
      </w:r>
    </w:p>
    <w:p w14:paraId="2207ADE6">
      <w:pPr>
        <w:pStyle w:val="4"/>
        <w:keepNext w:val="0"/>
        <w:keepLines w:val="0"/>
        <w:rPr>
          <w:rFonts w:cs="Times New Roman"/>
        </w:rPr>
      </w:pPr>
      <w:r>
        <w:rPr>
          <w:rFonts w:cs="Times New Roman"/>
        </w:rPr>
        <w:t>1. 坚持多措并举，抓好党员教育管理</w:t>
      </w:r>
    </w:p>
    <w:p w14:paraId="4259C98F">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充实党员队伍源头活水。</w:t>
      </w:r>
      <w:r>
        <w:rPr>
          <w:rFonts w:hint="eastAsia" w:ascii="仿宋_GB2312" w:hAnsi="仿宋_GB2312" w:eastAsia="仿宋_GB2312" w:cs="仿宋_GB2312"/>
          <w:sz w:val="32"/>
          <w:szCs w:val="32"/>
        </w:rPr>
        <w:t>完善“12345”党员发展提质培优工程，持续加强优秀青年教师和高层次人才在政治引领和专业成长上的“双培养”。全年培养入党积极分子174人，发展党员4</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w:t>
      </w:r>
      <w:r>
        <w:rPr>
          <w:rFonts w:hint="eastAsia" w:ascii="仿宋_GB2312" w:hAnsi="仿宋_GB2312" w:eastAsia="仿宋_GB2312" w:cs="仿宋_GB2312"/>
          <w:b/>
          <w:bCs/>
          <w:sz w:val="32"/>
          <w:szCs w:val="32"/>
        </w:rPr>
        <w:t>提高党员队伍素质水平。</w:t>
      </w:r>
      <w:r>
        <w:rPr>
          <w:rFonts w:hint="eastAsia" w:ascii="仿宋_GB2312" w:hAnsi="仿宋_GB2312" w:eastAsia="仿宋_GB2312" w:cs="仿宋_GB2312"/>
          <w:sz w:val="32"/>
          <w:szCs w:val="32"/>
        </w:rPr>
        <w:t>邀请全国理论宣讲先进个人、全国党建工作样板支部书记等开展3期党建领航课堂活动。开展“一线挂职践初心”行动，组织党员教师下沉基础教育学校担任挂职副校长、学科导师，在教育帮扶、管理实践中锤炼党性与业务能力。</w:t>
      </w:r>
      <w:r>
        <w:rPr>
          <w:rFonts w:hint="eastAsia" w:ascii="仿宋_GB2312" w:hAnsi="仿宋_GB2312" w:eastAsia="仿宋_GB2312" w:cs="仿宋_GB2312"/>
          <w:b/>
          <w:bCs/>
          <w:sz w:val="32"/>
          <w:szCs w:val="32"/>
        </w:rPr>
        <w:t>提升党员队伍专业能力。</w:t>
      </w:r>
      <w:r>
        <w:rPr>
          <w:rFonts w:hint="eastAsia" w:ascii="仿宋_GB2312" w:hAnsi="仿宋_GB2312" w:eastAsia="仿宋_GB2312" w:cs="仿宋_GB2312"/>
          <w:sz w:val="32"/>
          <w:szCs w:val="32"/>
        </w:rPr>
        <w:t>积极搭建研学平台，举办“党建+教育科研”沙龙，推动党员教师在理论研讨、课题协作中更新教育理念，提升科研育人水平。党员教师全年获批国家级项目2项、省部级项目5项、市厅级项目19项，发表高水平学术论文17篇。</w:t>
      </w:r>
    </w:p>
    <w:p w14:paraId="494618AF">
      <w:pPr>
        <w:pStyle w:val="4"/>
        <w:keepNext w:val="0"/>
        <w:keepLines w:val="0"/>
        <w:rPr>
          <w:rFonts w:cs="Times New Roman"/>
        </w:rPr>
      </w:pPr>
      <w:r>
        <w:rPr>
          <w:rFonts w:cs="Times New Roman"/>
        </w:rPr>
        <w:t>2. 狠抓师德师风，守好</w:t>
      </w:r>
      <w:r>
        <w:rPr>
          <w:rFonts w:hint="eastAsia" w:cs="Times New Roman"/>
        </w:rPr>
        <w:t>立德树人</w:t>
      </w:r>
      <w:r>
        <w:rPr>
          <w:rFonts w:cs="Times New Roman"/>
        </w:rPr>
        <w:t>阵地</w:t>
      </w:r>
    </w:p>
    <w:p w14:paraId="4DAD7555">
      <w:pPr>
        <w:spacing w:line="560" w:lineRule="exact"/>
        <w:ind w:firstLine="643" w:firstLineChars="200"/>
        <w:rPr>
          <w:rFonts w:hint="eastAsia" w:ascii="仿宋_GB2312" w:hAnsi="仿宋_GB2312" w:eastAsia="仿宋_GB2312" w:cs="仿宋_GB2312"/>
          <w:sz w:val="32"/>
          <w:szCs w:val="22"/>
        </w:rPr>
      </w:pPr>
      <w:r>
        <w:rPr>
          <w:rFonts w:hint="eastAsia" w:ascii="仿宋_GB2312" w:hAnsi="仿宋_GB2312" w:eastAsia="仿宋_GB2312" w:cs="仿宋_GB2312"/>
          <w:b/>
          <w:bCs/>
          <w:sz w:val="32"/>
          <w:szCs w:val="22"/>
        </w:rPr>
        <w:t>夯实铸魂主阵地。</w:t>
      </w:r>
      <w:r>
        <w:rPr>
          <w:rFonts w:hint="eastAsia" w:ascii="仿宋_GB2312" w:hAnsi="仿宋_GB2312" w:eastAsia="仿宋_GB2312" w:cs="仿宋_GB2312"/>
          <w:sz w:val="32"/>
          <w:szCs w:val="22"/>
        </w:rPr>
        <w:t>大力弘扬教育家精神，打造教育文化节品牌，健全“价值引领、典型示范、实践淬炼”协同发力的师德师风长效机制，推动党员教师带头承担思政课教学、参与课程思政建设，把立德树人融入专业教学全过程。一门课程入选江苏高校思想政治工作资源库作品，一门党课获评校精品党课并报省。</w:t>
      </w:r>
      <w:r>
        <w:rPr>
          <w:rFonts w:hint="eastAsia" w:ascii="仿宋_GB2312" w:hAnsi="仿宋_GB2312" w:eastAsia="仿宋_GB2312" w:cs="仿宋_GB2312"/>
          <w:b/>
          <w:bCs/>
          <w:sz w:val="32"/>
          <w:szCs w:val="22"/>
        </w:rPr>
        <w:t>严守师德规范底线。</w:t>
      </w:r>
      <w:r>
        <w:rPr>
          <w:rFonts w:hint="eastAsia" w:ascii="仿宋_GB2312" w:hAnsi="仿宋_GB2312" w:eastAsia="仿宋_GB2312" w:cs="仿宋_GB2312"/>
          <w:sz w:val="32"/>
          <w:szCs w:val="22"/>
        </w:rPr>
        <w:t>开展师德师风专题学习会，组织签订师德师风承诺书，赴中国师范教育博物馆、红色师范纪念馆开展“向师而行践使命、铸魂育人守初心”主题党日活动，引导教师</w:t>
      </w:r>
      <w:r>
        <w:rPr>
          <w:rFonts w:hint="eastAsia" w:ascii="仿宋_GB2312" w:hAnsi="仿宋_GB2312" w:eastAsia="仿宋_GB2312" w:cs="仿宋_GB2312"/>
          <w:sz w:val="32"/>
          <w:szCs w:val="32"/>
        </w:rPr>
        <w:t>树牢“底线”思维和“红线”意识。学院全年师德师风零问题。</w:t>
      </w:r>
    </w:p>
    <w:p w14:paraId="00C4CF67">
      <w:pPr>
        <w:pStyle w:val="3"/>
        <w:keepNext w:val="0"/>
        <w:keepLines w:val="0"/>
        <w:rPr>
          <w:rFonts w:cs="Times New Roman"/>
          <w:b/>
          <w:bCs w:val="0"/>
        </w:rPr>
      </w:pPr>
      <w:r>
        <w:rPr>
          <w:rFonts w:cs="Times New Roman"/>
          <w:b/>
          <w:bCs w:val="0"/>
        </w:rPr>
        <w:t>（四）涵养清风正气，筑牢党风廉政坚固防线</w:t>
      </w:r>
    </w:p>
    <w:p w14:paraId="0F3DFA7C">
      <w:pPr>
        <w:spacing w:line="560" w:lineRule="exact"/>
        <w:ind w:firstLine="643" w:firstLineChars="200"/>
        <w:rPr>
          <w:rFonts w:ascii="Times New Roman" w:hAnsi="Times New Roman" w:eastAsia="仿宋_GB2312" w:cs="Times New Roman"/>
          <w:sz w:val="32"/>
          <w:szCs w:val="32"/>
        </w:rPr>
      </w:pPr>
      <w:r>
        <w:rPr>
          <w:rFonts w:hint="eastAsia" w:ascii="仿宋_GB2312" w:hAnsi="仿宋_GB2312" w:eastAsia="仿宋_GB2312" w:cs="仿宋_GB2312"/>
          <w:b/>
          <w:bCs/>
          <w:sz w:val="32"/>
          <w:szCs w:val="32"/>
        </w:rPr>
        <w:t>夯实党风廉政“压舱石”。</w:t>
      </w:r>
      <w:r>
        <w:rPr>
          <w:rFonts w:hint="eastAsia" w:ascii="仿宋_GB2312" w:hAnsi="仿宋_GB2312" w:eastAsia="仿宋_GB2312" w:cs="仿宋_GB2312"/>
          <w:sz w:val="32"/>
          <w:szCs w:val="32"/>
        </w:rPr>
        <w:t>制定并实施《教育科学学院全面从严治党主体责任清单》，召开党风廉政建设工作专题会议，逐级签订党风廉政建设责任书，开展廉政风险排查，全面梳理廉政风险点。</w:t>
      </w:r>
      <w:r>
        <w:rPr>
          <w:rFonts w:hint="eastAsia" w:ascii="仿宋_GB2312" w:hAnsi="仿宋_GB2312" w:eastAsia="仿宋_GB2312" w:cs="仿宋_GB2312"/>
          <w:b/>
          <w:bCs/>
          <w:sz w:val="32"/>
          <w:szCs w:val="32"/>
        </w:rPr>
        <w:t>筑牢关键环节“警戒线”。</w:t>
      </w:r>
      <w:r>
        <w:rPr>
          <w:rFonts w:hint="eastAsia" w:ascii="仿宋_GB2312" w:hAnsi="仿宋_GB2312" w:eastAsia="仿宋_GB2312" w:cs="仿宋_GB2312"/>
          <w:sz w:val="32"/>
          <w:szCs w:val="32"/>
        </w:rPr>
        <w:t>制定《教育科学学院权力运行项目、风险点及防控措施一览表》，全面梳理学院在岗位职权、工作流程、制度机制等方面存在的廉政风险点。加强对重点领域、关键岗位和重要事项的监督，常态化开展廉政谈话与风险预警，做到抓早抓小、防微杜渐。</w:t>
      </w:r>
      <w:r>
        <w:rPr>
          <w:rFonts w:hint="eastAsia" w:ascii="仿宋_GB2312" w:hAnsi="仿宋_GB2312" w:eastAsia="仿宋_GB2312" w:cs="仿宋_GB2312"/>
          <w:b/>
          <w:bCs/>
          <w:sz w:val="32"/>
          <w:szCs w:val="32"/>
        </w:rPr>
        <w:t>厚植廉洁教育“清风林”。</w:t>
      </w:r>
      <w:r>
        <w:rPr>
          <w:rFonts w:hint="eastAsia" w:ascii="仿宋_GB2312" w:hAnsi="仿宋_GB2312" w:eastAsia="仿宋_GB2312" w:cs="仿宋_GB2312"/>
          <w:sz w:val="32"/>
          <w:szCs w:val="32"/>
        </w:rPr>
        <w:t>持续开展“校园润廉、干部勤廉、教师清廉、学生崇廉”系列活动，推动廉洁文化建设融入日常、化为经常。</w:t>
      </w:r>
      <w:r>
        <w:rPr>
          <w:rFonts w:hint="eastAsia" w:ascii="仿宋_GB2312" w:hAnsi="仿宋_GB2312" w:eastAsia="仿宋_GB2312" w:cs="仿宋_GB2312"/>
          <w:b/>
          <w:bCs/>
          <w:sz w:val="32"/>
          <w:szCs w:val="32"/>
        </w:rPr>
        <w:t>管好整改落实“责任田”。</w:t>
      </w:r>
      <w:r>
        <w:rPr>
          <w:rFonts w:hint="eastAsia" w:ascii="仿宋_GB2312" w:hAnsi="仿宋_GB2312" w:eastAsia="仿宋_GB2312" w:cs="仿宋_GB2312"/>
          <w:sz w:val="32"/>
          <w:szCs w:val="32"/>
        </w:rPr>
        <w:t>高标准完成巡察整改任务，深化巡察整改“后半篇文章”，推动整改成果转化为制度规范与治理效能，实现以改促建、以治促优</w:t>
      </w:r>
      <w:r>
        <w:rPr>
          <w:rFonts w:ascii="Times New Roman" w:hAnsi="Times New Roman" w:eastAsia="仿宋_GB2312" w:cs="Times New Roman"/>
          <w:sz w:val="32"/>
          <w:szCs w:val="32"/>
        </w:rPr>
        <w:t>。</w:t>
      </w:r>
    </w:p>
    <w:p w14:paraId="0F10F0D5">
      <w:pPr>
        <w:pStyle w:val="3"/>
        <w:keepNext w:val="0"/>
        <w:keepLines w:val="0"/>
        <w:rPr>
          <w:rFonts w:cs="Times New Roman"/>
          <w:b/>
          <w:bCs w:val="0"/>
        </w:rPr>
      </w:pPr>
      <w:r>
        <w:rPr>
          <w:rFonts w:cs="Times New Roman"/>
          <w:b/>
          <w:bCs w:val="0"/>
        </w:rPr>
        <w:t>（五）深化党群共建，构建协同育人良好格局</w:t>
      </w:r>
    </w:p>
    <w:p w14:paraId="1CE379FD">
      <w:pPr>
        <w:spacing w:line="560" w:lineRule="exact"/>
        <w:ind w:firstLine="643" w:firstLineChars="200"/>
        <w:outlineLvl w:val="2"/>
        <w:rPr>
          <w:rFonts w:hint="eastAsia" w:ascii="仿宋_GB2312" w:hAnsi="仿宋_GB2312" w:eastAsia="仿宋_GB2312" w:cs="仿宋_GB2312"/>
          <w:sz w:val="32"/>
          <w:szCs w:val="22"/>
        </w:rPr>
      </w:pPr>
      <w:bookmarkStart w:id="2" w:name="_Toc198300811"/>
      <w:r>
        <w:rPr>
          <w:rFonts w:hint="eastAsia" w:ascii="仿宋_GB2312" w:hAnsi="仿宋_GB2312" w:eastAsia="仿宋_GB2312" w:cs="仿宋_GB2312"/>
          <w:b/>
          <w:bCs/>
          <w:sz w:val="32"/>
          <w:szCs w:val="32"/>
        </w:rPr>
        <w:t>强化党团联动，推动共育青年先锋力量</w:t>
      </w:r>
      <w:bookmarkEnd w:id="2"/>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22"/>
        </w:rPr>
        <w:t>实施党团骨干共育计划，将优秀团员纳入党员“蓄水池”。将学科竞赛、社会实践作为团员能力提升的“练兵场”，激活团员成长动力引擎。</w:t>
      </w:r>
      <w:bookmarkStart w:id="3" w:name="_Toc198300812"/>
      <w:r>
        <w:rPr>
          <w:rFonts w:hint="eastAsia" w:ascii="仿宋_GB2312" w:hAnsi="仿宋_GB2312" w:eastAsia="仿宋_GB2312" w:cs="仿宋_GB2312"/>
          <w:b/>
          <w:bCs/>
          <w:sz w:val="32"/>
          <w:szCs w:val="32"/>
        </w:rPr>
        <w:t>强化党工联建，推动共筑凝心聚力堡垒</w:t>
      </w:r>
      <w:bookmarkEnd w:id="3"/>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22"/>
        </w:rPr>
        <w:t>通过畅通诉求渠道、强化教代会职能，将民主管理融入学院决策全流程。组织艾草锤制作、趣味运动会等活动，校田径运动会中教工团体获全校第一。开展传统节日、婚育退休等暖心慰问活动，用心用情做好教职工人文关怀。</w:t>
      </w:r>
      <w:bookmarkStart w:id="4" w:name="_Toc198300813"/>
      <w:bookmarkStart w:id="5" w:name="_Hlk198135024"/>
      <w:r>
        <w:rPr>
          <w:rFonts w:hint="eastAsia" w:ascii="仿宋_GB2312" w:hAnsi="仿宋_GB2312" w:eastAsia="仿宋_GB2312" w:cs="仿宋_GB2312"/>
          <w:b/>
          <w:bCs/>
          <w:sz w:val="32"/>
          <w:szCs w:val="32"/>
        </w:rPr>
        <w:t>强化党群连心，推动共汇党外智慧动能</w:t>
      </w:r>
      <w:bookmarkEnd w:id="4"/>
      <w:r>
        <w:rPr>
          <w:rFonts w:hint="eastAsia" w:ascii="仿宋_GB2312" w:hAnsi="仿宋_GB2312" w:eastAsia="仿宋_GB2312" w:cs="仿宋_GB2312"/>
          <w:b/>
          <w:bCs/>
          <w:sz w:val="32"/>
          <w:szCs w:val="32"/>
        </w:rPr>
        <w:t>。</w:t>
      </w:r>
      <w:bookmarkEnd w:id="5"/>
      <w:r>
        <w:rPr>
          <w:rFonts w:hint="eastAsia" w:ascii="仿宋_GB2312" w:hAnsi="仿宋_GB2312" w:eastAsia="仿宋_GB2312" w:cs="仿宋_GB2312"/>
          <w:sz w:val="32"/>
          <w:szCs w:val="22"/>
        </w:rPr>
        <w:t>领导班子定期通过座谈会、谈心谈话等形式，听取党外高知分子对学院事业发展的意见建议。</w:t>
      </w:r>
    </w:p>
    <w:p w14:paraId="55769F6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学院党委扎实推进全省党建工作标杆院系建设，顺利通过首批校级党建工作标杆学院验收，成功申报全国党建工作标杆院系。学院建有1支校级“双带头人”教师党支部书记“强国行”专项行动重点团队，2个党支部顺利通过校级首批党建工作样板支部验收，1个党支部入选校级第二批党建工作样板支部重点培育建设单位。学院获江苏高校党建工作创新案例活动创新类一等次，获校先进基层党组织、校最佳党日活动特等奖、校基层党建工作创新奖二等奖、校“铸魂育人 青春向党”党课评选精品党课一项、优秀党课一项、校新闻宣传工作先进集体、校档案工作先进集体等多项荣誉。</w:t>
      </w:r>
    </w:p>
    <w:p w14:paraId="55773176">
      <w:pPr>
        <w:pStyle w:val="2"/>
        <w:keepNext w:val="0"/>
        <w:keepLines w:val="0"/>
        <w:ind w:firstLine="640"/>
        <w:rPr>
          <w:rFonts w:cs="Times New Roman"/>
          <w:szCs w:val="32"/>
        </w:rPr>
      </w:pPr>
      <w:r>
        <w:rPr>
          <w:rFonts w:hint="eastAsia" w:cs="Times New Roman"/>
          <w:szCs w:val="32"/>
        </w:rPr>
        <w:t>二、人才工作</w:t>
      </w:r>
    </w:p>
    <w:p w14:paraId="0374D029">
      <w:pPr>
        <w:pStyle w:val="3"/>
        <w:keepNext w:val="0"/>
        <w:keepLines w:val="0"/>
        <w:rPr>
          <w:rFonts w:hint="eastAsia" w:cs="Times New Roman"/>
          <w:b/>
          <w:bCs w:val="0"/>
        </w:rPr>
      </w:pPr>
      <w:r>
        <w:rPr>
          <w:rFonts w:hint="eastAsia" w:cs="Times New Roman"/>
          <w:b/>
          <w:bCs w:val="0"/>
        </w:rPr>
        <w:t>（一）拓宽引才渠道，加大优秀人才引进力度</w:t>
      </w:r>
    </w:p>
    <w:p w14:paraId="5E5AF01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学院将人才引进作为支撑学科发展与硕士点建设的关键举措，主动出击，多措并举。</w:t>
      </w:r>
      <w:r>
        <w:rPr>
          <w:rFonts w:hint="eastAsia" w:ascii="仿宋_GB2312" w:hAnsi="仿宋_GB2312" w:eastAsia="仿宋_GB2312" w:cs="仿宋_GB2312"/>
          <w:b/>
          <w:sz w:val="32"/>
          <w:szCs w:val="32"/>
        </w:rPr>
        <w:t>一是深化高校联络，精准引才。</w:t>
      </w:r>
      <w:r>
        <w:rPr>
          <w:rFonts w:hint="eastAsia" w:ascii="仿宋_GB2312" w:hAnsi="仿宋_GB2312" w:eastAsia="仿宋_GB2312" w:cs="仿宋_GB2312"/>
          <w:sz w:val="32"/>
          <w:szCs w:val="32"/>
        </w:rPr>
        <w:t>持续加强与国内重点高校、科研院所的对接，动态掌握心理学、教育学及相关学科博士毕业生的信息，提前建立联系，定向宣传学校与学院的发展优势及人才政策。年内已积累有效博士简历20余份，并保持常态化沟通。</w:t>
      </w:r>
      <w:r>
        <w:rPr>
          <w:rFonts w:hint="eastAsia" w:ascii="仿宋_GB2312" w:hAnsi="仿宋_GB2312" w:eastAsia="仿宋_GB2312" w:cs="仿宋_GB2312"/>
          <w:b/>
          <w:sz w:val="32"/>
          <w:szCs w:val="32"/>
        </w:rPr>
        <w:t>二是积极参与招聘，严格选才。</w:t>
      </w:r>
      <w:r>
        <w:rPr>
          <w:rFonts w:hint="eastAsia" w:ascii="仿宋_GB2312" w:hAnsi="仿宋_GB2312" w:eastAsia="仿宋_GB2312" w:cs="仿宋_GB2312"/>
          <w:sz w:val="32"/>
          <w:szCs w:val="32"/>
        </w:rPr>
        <w:t>组织参加各类线上线下专场招聘会，并自主开展4轮博士面试考核，确保引进人才与学科需求的匹配度。</w:t>
      </w:r>
      <w:r>
        <w:rPr>
          <w:rFonts w:hint="eastAsia" w:ascii="仿宋_GB2312" w:hAnsi="仿宋_GB2312" w:eastAsia="仿宋_GB2312" w:cs="仿宋_GB2312"/>
          <w:b/>
          <w:sz w:val="32"/>
          <w:szCs w:val="32"/>
        </w:rPr>
        <w:t>三是激活内部资源，以才引才。</w:t>
      </w:r>
      <w:r>
        <w:rPr>
          <w:rFonts w:hint="eastAsia" w:ascii="仿宋_GB2312" w:hAnsi="仿宋_GB2312" w:eastAsia="仿宋_GB2312" w:cs="仿宋_GB2312"/>
          <w:sz w:val="32"/>
          <w:szCs w:val="32"/>
        </w:rPr>
        <w:t>完善并实施人才举荐激励办法，鼓励在职教师特别是博士教师推荐优秀人才，拓展引才网络。通过上述渠道，本年度成功引进博士人才1人，为学院发展注入了新生力量。</w:t>
      </w:r>
    </w:p>
    <w:p w14:paraId="70BBF7FE">
      <w:pPr>
        <w:pStyle w:val="3"/>
        <w:keepNext w:val="0"/>
        <w:keepLines w:val="0"/>
        <w:rPr>
          <w:rFonts w:hint="eastAsia" w:cs="Times New Roman"/>
          <w:b/>
          <w:bCs w:val="0"/>
        </w:rPr>
      </w:pPr>
      <w:r>
        <w:rPr>
          <w:rFonts w:hint="eastAsia" w:cs="Times New Roman"/>
          <w:b/>
          <w:bCs w:val="0"/>
        </w:rPr>
        <w:t>（二）健全育才体系，助力现有人才成长发展</w:t>
      </w:r>
    </w:p>
    <w:p w14:paraId="3D08093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学院高度重视在职教师的培养与发展，着力构建系统化的支持体系。</w:t>
      </w:r>
      <w:r>
        <w:rPr>
          <w:rFonts w:hint="eastAsia" w:ascii="仿宋_GB2312" w:hAnsi="仿宋_GB2312" w:eastAsia="仿宋_GB2312" w:cs="仿宋_GB2312"/>
          <w:b/>
          <w:bCs/>
          <w:sz w:val="32"/>
          <w:szCs w:val="32"/>
        </w:rPr>
        <w:t>一是实施精准帮扶。</w:t>
      </w:r>
      <w:r>
        <w:rPr>
          <w:rFonts w:hint="eastAsia" w:ascii="仿宋_GB2312" w:hAnsi="仿宋_GB2312" w:eastAsia="仿宋_GB2312" w:cs="仿宋_GB2312"/>
          <w:sz w:val="32"/>
          <w:szCs w:val="32"/>
        </w:rPr>
        <w:t>完善“传帮带”机制，为新进教师及青年教师配备教学科研导师，在项目申报、论文撰写、课堂教学等方面提供全程指导。</w:t>
      </w:r>
      <w:r>
        <w:rPr>
          <w:rFonts w:hint="eastAsia" w:ascii="仿宋_GB2312" w:hAnsi="仿宋_GB2312" w:eastAsia="仿宋_GB2312" w:cs="仿宋_GB2312"/>
          <w:b/>
          <w:bCs/>
          <w:sz w:val="32"/>
          <w:szCs w:val="32"/>
        </w:rPr>
        <w:t>二是支持学历提升。</w:t>
      </w:r>
      <w:r>
        <w:rPr>
          <w:rFonts w:hint="eastAsia" w:ascii="仿宋_GB2312" w:hAnsi="仿宋_GB2312" w:eastAsia="仿宋_GB2312" w:cs="仿宋_GB2312"/>
          <w:sz w:val="32"/>
          <w:szCs w:val="32"/>
        </w:rPr>
        <w:t>积极鼓励并创造条件支持教师在职攻读博士学位，为其协调学习与工作关系，并在学术资源上予以倾斜。1名教师成功考取博士研究生。</w:t>
      </w:r>
      <w:r>
        <w:rPr>
          <w:rFonts w:hint="eastAsia" w:ascii="仿宋_GB2312" w:hAnsi="仿宋_GB2312" w:eastAsia="仿宋_GB2312" w:cs="仿宋_GB2312"/>
          <w:b/>
          <w:bCs/>
          <w:sz w:val="32"/>
          <w:szCs w:val="32"/>
        </w:rPr>
        <w:t>三是搭建成长平台。</w:t>
      </w:r>
      <w:r>
        <w:rPr>
          <w:rFonts w:hint="eastAsia" w:ascii="仿宋_GB2312" w:hAnsi="仿宋_GB2312" w:eastAsia="仿宋_GB2312" w:cs="仿宋_GB2312"/>
          <w:sz w:val="32"/>
          <w:szCs w:val="32"/>
        </w:rPr>
        <w:t>通过定期举办“知美学术”沙龙、资助参加国内外学术会议、组织申报各类人才项目与科研课题等方式，助力教师拓宽学术视野，提升专业能力与核心竞争力，推动学院整体师资水平迈向新台阶。2名教师分别获2025年江苏高校“青蓝工程”中青年学术带头人和优秀青年骨干教师。</w:t>
      </w:r>
    </w:p>
    <w:p w14:paraId="16C93B91">
      <w:pPr>
        <w:pStyle w:val="2"/>
        <w:keepNext w:val="0"/>
        <w:keepLines w:val="0"/>
        <w:ind w:firstLine="640"/>
        <w:rPr>
          <w:rFonts w:cs="Times New Roman"/>
          <w:szCs w:val="32"/>
        </w:rPr>
      </w:pPr>
      <w:r>
        <w:rPr>
          <w:rFonts w:hint="eastAsia" w:cs="Times New Roman"/>
          <w:szCs w:val="32"/>
        </w:rPr>
        <w:t>三、学科与科研</w:t>
      </w:r>
    </w:p>
    <w:p w14:paraId="53818FBD">
      <w:pPr>
        <w:pStyle w:val="3"/>
        <w:keepNext w:val="0"/>
        <w:keepLines w:val="0"/>
        <w:rPr>
          <w:rFonts w:cs="Times New Roman"/>
        </w:rPr>
      </w:pPr>
      <w:r>
        <w:rPr>
          <w:rFonts w:hint="eastAsia" w:cs="Times New Roman"/>
          <w:b/>
          <w:bCs w:val="0"/>
        </w:rPr>
        <w:t>（一）聚焦硕士点培育，强化学科建设与申硕工作</w:t>
      </w:r>
    </w:p>
    <w:p w14:paraId="49F9F56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后备硕士点建设是重中之重工作，学院对标对表推进0401教育学（学术型硕士）和0454应用心理（专业型硕士）建设工作。对照申硕要求，各项成果均已达标。邀请汪霞、冯建军、陈庆荣、邓赐平等知名专家，对教育学省重点学科建设、申硕及高层次项目申报开展专项指导。</w:t>
      </w:r>
    </w:p>
    <w:p w14:paraId="2138C30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科建设方面，在中国教育科学研究院和全国教育科学规划办公室的指导下，承办“智能时代家校社协同教育的挑战与机遇”研讨活动暨中国教育科学论坛（2025）呼应会场。完成华东师范大学心理与认知科学学院对我校心理学专业的结对帮扶工作报告。1项成果入选盐城市《年度优秀人民建议汇编》。有序推进教育学省重点学科验收工作，完成“农村儿童心理发展与健康成长研究”省优秀创新团队结考评材料。</w:t>
      </w:r>
    </w:p>
    <w:p w14:paraId="153C12E6">
      <w:pPr>
        <w:pStyle w:val="3"/>
        <w:keepNext w:val="0"/>
        <w:keepLines w:val="0"/>
        <w:rPr>
          <w:rFonts w:cs="Times New Roman"/>
          <w:b/>
          <w:bCs w:val="0"/>
        </w:rPr>
      </w:pPr>
      <w:r>
        <w:rPr>
          <w:rFonts w:hint="eastAsia" w:cs="Times New Roman"/>
          <w:b/>
          <w:bCs w:val="0"/>
        </w:rPr>
        <w:t>（二）聚力科研提质增效，获奖与成果取得新突破</w:t>
      </w:r>
    </w:p>
    <w:p w14:paraId="3CADC0DF">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紧密围绕学科建设与硕士点培育目标，系统推进有组织科研，在科研获奖、项目申报与成果产出方面实现显著提升。获得江苏省第十八届哲学社会科学优秀成果奖2项，其中一等奖1项、二等奖1项，实现了高级别科研获奖的新突破。获批各类项目17项，其中国家级项目2项，省哲学社会科学项目5项，省高校哲学社会科学项目3项，其他市厅级项目7项，项目层次和数量均较往年有显著进步，为学科发展提供了持续动力。全年共发表高水平学术论文17篇，其中SSCI论文7篇，CSSCI论文10篇，</w:t>
      </w:r>
      <w:r>
        <w:rPr>
          <w:rFonts w:hint="eastAsia" w:ascii="Times New Roman" w:hAnsi="Times New Roman" w:eastAsia="仿宋_GB2312" w:cs="Times New Roman"/>
          <w:sz w:val="32"/>
          <w:szCs w:val="32"/>
        </w:rPr>
        <w:t>校引导出版社出版专著4部</w:t>
      </w:r>
      <w:r>
        <w:rPr>
          <w:rFonts w:hint="eastAsia" w:ascii="仿宋_GB2312" w:hAnsi="仿宋_GB2312" w:eastAsia="仿宋_GB2312" w:cs="仿宋_GB2312"/>
          <w:bCs/>
          <w:sz w:val="32"/>
          <w:szCs w:val="32"/>
        </w:rPr>
        <w:t>，引进人才科研产出显著。</w:t>
      </w:r>
    </w:p>
    <w:p w14:paraId="4F627706">
      <w:pPr>
        <w:pStyle w:val="3"/>
        <w:keepNext w:val="0"/>
        <w:keepLines w:val="0"/>
        <w:rPr>
          <w:rFonts w:cs="Times New Roman"/>
          <w:b/>
          <w:bCs w:val="0"/>
        </w:rPr>
      </w:pPr>
      <w:r>
        <w:rPr>
          <w:rFonts w:hint="eastAsia" w:cs="Times New Roman"/>
          <w:b/>
          <w:bCs w:val="0"/>
        </w:rPr>
        <w:t>（三）聚合科研平台功能，强化学术交流与专题研究</w:t>
      </w:r>
    </w:p>
    <w:p w14:paraId="6EEFAE68">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持续加强科研基础条件建设，优化学术生态，推动科研成果转化与社会服务。依托“教师教育发展研究”、“新时代乡村教育研究”、“青少年心理健康研究”等学术团队，开展“知美学术”论文与项目的交流与研讨，助力青年教师成长。儿童认知发展与心理健康省高校重点实验室开展了学术委员会年度工作会议，同时对实验室开放课题的结项和新申报项目进行评审；江苏农村教育发展研究中心与省委驻响水乡村振兴工作队和响水县教育局联合开展乡村教育发展的专题研讨会和专项调研，发放了关于教师、家长和学生调研问卷4000余份，撰写了3份调研报告。</w:t>
      </w:r>
    </w:p>
    <w:p w14:paraId="029961D3">
      <w:pPr>
        <w:pStyle w:val="3"/>
        <w:keepNext w:val="0"/>
        <w:keepLines w:val="0"/>
        <w:rPr>
          <w:rFonts w:cs="Times New Roman"/>
          <w:b/>
          <w:bCs w:val="0"/>
        </w:rPr>
      </w:pPr>
      <w:r>
        <w:rPr>
          <w:rFonts w:hint="eastAsia" w:cs="Times New Roman"/>
          <w:b/>
          <w:bCs w:val="0"/>
        </w:rPr>
        <w:t>（四）获批教改重点课题，夯实研究生培养基础</w:t>
      </w:r>
    </w:p>
    <w:p w14:paraId="2CFFE75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研究生导师立德树人履职评价与督导机制研究》获批2025年江苏省学位与研究生教育教学改革重点课题，系我校首个研究生教改省重点课题。与青海师范大学联合培养的1名研究生顺利毕业。教育硕士（心理健康教育）方向首届招生8人。完成25级教育硕士生导师的申报和院内评审工作。完成教育硕士（心理健康教育）的人才培养方案、教学大纲和教学设计工作，承担了全校教育硕士2门学位基础课的教学工作。配合研究生处完成教育硕士教指委的入校检查工作。</w:t>
      </w:r>
    </w:p>
    <w:p w14:paraId="1EF98914">
      <w:pPr>
        <w:pStyle w:val="2"/>
        <w:ind w:firstLine="640"/>
        <w:rPr>
          <w:rFonts w:cs="Times New Roman"/>
          <w:szCs w:val="32"/>
        </w:rPr>
      </w:pPr>
      <w:r>
        <w:rPr>
          <w:rFonts w:hint="eastAsia" w:cs="Times New Roman"/>
          <w:szCs w:val="32"/>
        </w:rPr>
        <w:t>四、教学工作</w:t>
      </w:r>
    </w:p>
    <w:p w14:paraId="79F03A93">
      <w:pPr>
        <w:pStyle w:val="4"/>
        <w:keepNext w:val="0"/>
        <w:keepLines w:val="0"/>
        <w:rPr>
          <w:rFonts w:eastAsia="楷体" w:cs="Times New Roman"/>
          <w:bCs w:val="0"/>
        </w:rPr>
      </w:pPr>
      <w:r>
        <w:rPr>
          <w:rFonts w:hint="eastAsia" w:eastAsia="楷体" w:cs="Times New Roman"/>
          <w:bCs w:val="0"/>
        </w:rPr>
        <w:t>（一）狠抓自评自建，圆满完成审核评估工作</w:t>
      </w:r>
    </w:p>
    <w:p w14:paraId="02797D2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按照学校部署和要求，精细组织落实教育教学常规管理、自评自检工作专项检查、预评估等各项工作，营造浓厚的迎评氛围。全力进行问题整改，针对评估专项检查与预评估专家反馈的问题，省委第七巡视组巡视盐城师范学院党委第一联动巡察组对我院党委开展联动巡察的反馈意见，以及学校党委开展的本科教育教学审核评估专项巡察反馈意见，积极推进整改落实，建设浓厚的质量文化。本科教育教学审核评估正式评估期间，高效配合完成了专家的线上调阅材料、听课与访谈工作以及线下的访谈座谈与现场考察工作，教育教学工作得到专家的高度赞誉</w:t>
      </w:r>
      <w:r>
        <w:rPr>
          <w:rFonts w:hint="eastAsia" w:ascii="仿宋_GB2312" w:hAnsi="仿宋_GB2312" w:eastAsia="仿宋_GB2312" w:cs="仿宋_GB2312"/>
          <w:sz w:val="32"/>
          <w:szCs w:val="32"/>
          <w:lang w:eastAsia="zh-CN"/>
        </w:rPr>
        <w:t>，被评为本科教育教学审核评估工作先进集体</w:t>
      </w:r>
      <w:bookmarkStart w:id="20" w:name="_GoBack"/>
      <w:bookmarkEnd w:id="20"/>
      <w:r>
        <w:rPr>
          <w:rFonts w:hint="eastAsia" w:ascii="仿宋_GB2312" w:hAnsi="仿宋_GB2312" w:eastAsia="仿宋_GB2312" w:cs="仿宋_GB2312"/>
          <w:sz w:val="32"/>
          <w:szCs w:val="32"/>
        </w:rPr>
        <w:t>。2名院领导作为学校评建办评估联络组、文字材料组的核心成员，工作能力与成效得到了学校评建办及有关部门领导的积极肯定。</w:t>
      </w:r>
    </w:p>
    <w:p w14:paraId="03686A82">
      <w:pPr>
        <w:pStyle w:val="4"/>
        <w:keepNext w:val="0"/>
        <w:keepLines w:val="0"/>
        <w:rPr>
          <w:rFonts w:eastAsia="楷体" w:cs="Times New Roman"/>
          <w:bCs w:val="0"/>
        </w:rPr>
      </w:pPr>
      <w:r>
        <w:rPr>
          <w:rFonts w:hint="eastAsia" w:eastAsia="楷体" w:cs="Times New Roman"/>
          <w:bCs w:val="0"/>
        </w:rPr>
        <w:t>（二）聚焦提质增效，持续深化专业内涵建设</w:t>
      </w:r>
    </w:p>
    <w:p w14:paraId="196E63C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用心理学专业省品牌专业三期建设稳步推进。成立数字化知识创新中心，加快智慧学院建设，10门课程启动智慧树课程建设，其中1门已经建成运行。“老幼一体健康服务”微专业顺利开设运行。学前教育专业的转型发展调研论证加快实施，成功举办人才培养方案论证会暨幼教产业学院合作共建研讨会、校企融合研讨会，组织赴南京开展幼教产业学院共建考察调研，并与调研单位达成合作意向。《小学教育心理学》《课程与教学论》被认定为双语课程。围绕“师范生心理健康教育能力培养体系构建与实践”和“农村学校心理健康教育校地共同体构建与实践”主题，持续开展教学改革，2项教学成果获批校特等奖并推荐省级教学成果。</w:t>
      </w:r>
    </w:p>
    <w:p w14:paraId="7CE421CB">
      <w:pPr>
        <w:pStyle w:val="4"/>
        <w:keepNext w:val="0"/>
        <w:keepLines w:val="0"/>
        <w:rPr>
          <w:rFonts w:eastAsia="楷体" w:cs="Times New Roman"/>
          <w:bCs w:val="0"/>
        </w:rPr>
      </w:pPr>
      <w:r>
        <w:rPr>
          <w:rFonts w:hint="eastAsia" w:eastAsia="楷体" w:cs="Times New Roman"/>
          <w:bCs w:val="0"/>
        </w:rPr>
        <w:t>（三）研训双管齐下，助推教师教学能力发展</w:t>
      </w:r>
    </w:p>
    <w:p w14:paraId="51455175">
      <w:pPr>
        <w:spacing w:line="560" w:lineRule="exact"/>
        <w:ind w:firstLine="640" w:firstLineChars="200"/>
        <w:rPr>
          <w:rFonts w:ascii="Times New Roman" w:hAnsi="Times New Roman" w:eastAsia="仿宋" w:cs="Times New Roman"/>
          <w:sz w:val="32"/>
          <w:szCs w:val="32"/>
        </w:rPr>
      </w:pPr>
      <w:r>
        <w:rPr>
          <w:rFonts w:hint="eastAsia" w:ascii="仿宋_GB2312" w:hAnsi="仿宋_GB2312" w:eastAsia="仿宋_GB2312" w:cs="仿宋_GB2312"/>
          <w:sz w:val="32"/>
          <w:szCs w:val="32"/>
        </w:rPr>
        <w:t>大力支持教学改革研究。获批省高等教育教学改革研究课题1项（地方高校教师教育者研修共同体构建及运行机制研究，主持人：乔晖、张权力），1件作品获省微课教学比赛二等奖。获批校级教育教学改革课题7项。发表高水平教研论文17篇。积极组织参加教学技能培训。组织教师参加学校“生成式人工智能助力教学变革——双师实操工作坊”的教学沙龙。2名教师参加“第十二届金陵爱德孤独症国家研讨会暨多场景融合实用技术工作坊”教学会议。</w:t>
      </w:r>
    </w:p>
    <w:p w14:paraId="3FC04904">
      <w:pPr>
        <w:pStyle w:val="4"/>
        <w:keepNext w:val="0"/>
        <w:keepLines w:val="0"/>
        <w:rPr>
          <w:rFonts w:eastAsia="楷体" w:cs="Times New Roman"/>
          <w:bCs w:val="0"/>
        </w:rPr>
      </w:pPr>
      <w:r>
        <w:rPr>
          <w:rFonts w:hint="eastAsia" w:eastAsia="楷体" w:cs="Times New Roman"/>
          <w:bCs w:val="0"/>
        </w:rPr>
        <w:t>（四）坚持应用导向，促进学用创新能力提升</w:t>
      </w:r>
    </w:p>
    <w:p w14:paraId="595544A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江苏省师范生教学基本功大赛中，15名选手全部获奖，约占全校获奖选手的1/4，一等奖7名，约占全校一等奖的1/3，1名选手获长三角教学基本功大赛二等奖，彰显了学院师范生培养的卓越成效。获省第四届心理情景剧——心理微剧场赛事一等奖，第十九届“挑战杯”全国大学生课外学术科技作品竞赛省赛一等奖，“正大杯”第十五届全国大学生市场调查与分析大赛江苏总决赛三等奖3项。在学校语言文字基本功竞赛中获一等奖3项、二等奖6项、三等奖3项及团体二等奖和组织奖。1个项目被推报立项江苏省大学生创新创业训练计划国家级创新训练项目，6个项目被推报立项省级创新训练项目。</w:t>
      </w:r>
    </w:p>
    <w:p w14:paraId="7EFDF22C">
      <w:pPr>
        <w:pStyle w:val="4"/>
        <w:keepNext w:val="0"/>
        <w:keepLines w:val="0"/>
        <w:rPr>
          <w:rFonts w:eastAsia="楷体" w:cs="Times New Roman"/>
          <w:bCs w:val="0"/>
        </w:rPr>
      </w:pPr>
      <w:r>
        <w:rPr>
          <w:rFonts w:hint="eastAsia" w:eastAsia="楷体" w:cs="Times New Roman"/>
          <w:bCs w:val="0"/>
        </w:rPr>
        <w:t>（五）深化校地合作，加强U-G-S协同</w:t>
      </w:r>
    </w:p>
    <w:p w14:paraId="69390E0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盐城市第一小学合作共建，开展深度合作，双方单位各有7名教师受聘对方单位的兼职教师，举办基础教育教学改革研讨会，组织专家团队指导第一小学成功申报获批江苏省基础教育内涵建设项目1项。与南京九曜教育集团、亭湖区托育服务中心、金苹果幼儿园、蒙恩幼儿园签订幼教产业学院合作共建意向书。</w:t>
      </w:r>
    </w:p>
    <w:p w14:paraId="3C57223C">
      <w:pPr>
        <w:pStyle w:val="2"/>
        <w:ind w:firstLine="640"/>
        <w:rPr>
          <w:rFonts w:cs="Times New Roman"/>
          <w:szCs w:val="32"/>
        </w:rPr>
      </w:pPr>
      <w:r>
        <w:rPr>
          <w:rFonts w:hint="eastAsia" w:cs="Times New Roman"/>
          <w:szCs w:val="32"/>
        </w:rPr>
        <w:t>五、学生工作</w:t>
      </w:r>
    </w:p>
    <w:p w14:paraId="11D19AFA">
      <w:pPr>
        <w:pStyle w:val="3"/>
        <w:keepNext w:val="0"/>
        <w:keepLines w:val="0"/>
        <w:rPr>
          <w:rFonts w:cs="Times New Roman"/>
          <w:b/>
          <w:bCs w:val="0"/>
        </w:rPr>
      </w:pPr>
      <w:r>
        <w:rPr>
          <w:rFonts w:hint="eastAsia" w:cs="Times New Roman"/>
          <w:b/>
          <w:bCs w:val="0"/>
        </w:rPr>
        <w:t>（一）锚定思想领航 校准育人航向</w:t>
      </w:r>
    </w:p>
    <w:p w14:paraId="255683ED">
      <w:pPr>
        <w:pStyle w:val="4"/>
        <w:keepNext w:val="0"/>
        <w:keepLines w:val="0"/>
        <w:rPr>
          <w:rFonts w:cs="Times New Roman"/>
        </w:rPr>
      </w:pPr>
      <w:r>
        <w:rPr>
          <w:rFonts w:hint="eastAsia" w:cs="Times New Roman"/>
        </w:rPr>
        <w:t>1. 紧扣关键节点，深化思想淬炼</w:t>
      </w:r>
    </w:p>
    <w:p w14:paraId="6A19DD78">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秉持“日常教育节点化、主题活动常态化”工作理念，在新生入学适应期、毕业生离校冲刺期等关键阶段，精心策划“书记有约话成长”“育梦成光・2025 致爱青春”毕业典礼等30余场主题教育活动，构建全方位、持续性的思政教育体系。积极组织学生参与市校级理论宣讲活动，</w:t>
      </w:r>
      <w:r>
        <w:rPr>
          <w:rFonts w:hint="eastAsia" w:ascii="仿宋_GB2312" w:hAnsi="仿宋_GB2312" w:eastAsia="仿宋_GB2312" w:cs="仿宋_GB2312"/>
          <w:bCs/>
          <w:sz w:val="32"/>
          <w:szCs w:val="32"/>
        </w:rPr>
        <w:t>《赓续新四军精神，创新转译盐阜红色基因》成功立项2025年“青讲青听”理论宣讲社会实践项目；《承红色薪火守初心 融小我大我赴征程》获“青讲青听”盐城市大学生理论宣讲风采展示活动一等奖。教24(3)小教S班获评2024-2025学年“王强班”，树立思想引领标杆。</w:t>
      </w:r>
    </w:p>
    <w:p w14:paraId="61BB6BEE">
      <w:pPr>
        <w:pStyle w:val="4"/>
        <w:keepNext w:val="0"/>
        <w:keepLines w:val="0"/>
        <w:rPr>
          <w:rFonts w:cs="Times New Roman"/>
        </w:rPr>
      </w:pPr>
      <w:r>
        <w:rPr>
          <w:rFonts w:hint="eastAsia" w:cs="Times New Roman"/>
        </w:rPr>
        <w:t>2. 聚焦价值导向，厚植志愿情怀</w:t>
      </w:r>
    </w:p>
    <w:p w14:paraId="621843F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化与盐城市科技馆的馆校合作，共建科普教育与志愿服务平台，组建10支专项志愿服务团队，持续做好“盐青先行”青年志愿服务品牌，深耕盐城周边学校、社区、展馆等服务阵地，打造新时代学雷锋示范窗口。“普语润乡，筑梦疆桂”推普志愿服务团成功入选2025年“推普助力乡村振兴”全国大学生暑期实践重点团队；星“核”灿烂志愿宣讲团入选2025年全国大学生“两弹一星”精神志愿宣讲团。学院承担的江苏省社会组织参与艾滋病防治项目顺利通过验收结项，并成功申报2026年项目，举办驻盐高校艾滋病同伴教育主持人培训班。学院坚持以心育心，开展心理健康教育进校园、进社区系列活动，推动专业优势与社会责任深度融合，助力心理健康教育工作高质量发展。</w:t>
      </w:r>
    </w:p>
    <w:p w14:paraId="53D29E1F">
      <w:pPr>
        <w:pStyle w:val="4"/>
        <w:keepNext w:val="0"/>
        <w:keepLines w:val="0"/>
        <w:rPr>
          <w:rFonts w:cs="Times New Roman"/>
        </w:rPr>
      </w:pPr>
      <w:bookmarkStart w:id="6" w:name="OLE_LINK6"/>
      <w:bookmarkStart w:id="7" w:name="OLE_LINK5"/>
      <w:r>
        <w:rPr>
          <w:rFonts w:hint="eastAsia" w:cs="Times New Roman"/>
        </w:rPr>
        <w:t>3. 激活新媒体矩阵，强化宣传赋能</w:t>
      </w:r>
    </w:p>
    <w:p w14:paraId="5C5FE47E">
      <w:pPr>
        <w:spacing w:line="560" w:lineRule="exact"/>
        <w:ind w:firstLine="640" w:firstLineChars="200"/>
        <w:rPr>
          <w:rFonts w:ascii="Times New Roman" w:hAnsi="Times New Roman" w:eastAsia="仿宋" w:cs="Times New Roman"/>
          <w:sz w:val="32"/>
          <w:szCs w:val="32"/>
        </w:rPr>
      </w:pPr>
      <w:r>
        <w:rPr>
          <w:rFonts w:hint="eastAsia" w:ascii="仿宋_GB2312" w:hAnsi="仿宋_GB2312" w:eastAsia="仿宋_GB2312" w:cs="仿宋_GB2312"/>
          <w:sz w:val="32"/>
          <w:szCs w:val="32"/>
        </w:rPr>
        <w:t>学院以“内容筑基、矩阵联动”为抓手，激活新媒体宣传潜能，构建起覆盖学院网站、微信公众号、视频号等平台的立体化传播体系，让育人实践与学科特色深入人心。公众号深耕深度内容，开设“社会服务”“志愿服务”“入学教育”“榜样力量”等10余个特色专栏，系统推送年度教学、管理等重点工作，年均产出原创推文百余篇，成为展示学院实力的核心窗口；多平台强化联动，同步传播支教宣讲、公益服务等正能量内容，既提升“盐青先行”品牌知名度与学院教育影响力，也为师范生成长与协同育人注入强劲宣传动力。本年度累计发布各类推送400余篇，总浏览量突破10万+，相关工作获中国教育报、中国青年报等媒体报道近百次，有效扩大了育人工作辐射范围。</w:t>
      </w:r>
    </w:p>
    <w:bookmarkEnd w:id="6"/>
    <w:bookmarkEnd w:id="7"/>
    <w:p w14:paraId="450AAF92">
      <w:pPr>
        <w:pStyle w:val="3"/>
        <w:keepNext w:val="0"/>
        <w:keepLines w:val="0"/>
        <w:rPr>
          <w:rFonts w:cs="Times New Roman"/>
          <w:b/>
          <w:bCs w:val="0"/>
        </w:rPr>
      </w:pPr>
      <w:r>
        <w:rPr>
          <w:rFonts w:hint="eastAsia" w:cs="Times New Roman"/>
          <w:b/>
          <w:bCs w:val="0"/>
        </w:rPr>
        <w:t>（二）深耕学风建设 提升育人质效</w:t>
      </w:r>
    </w:p>
    <w:p w14:paraId="2145E76B">
      <w:pPr>
        <w:pStyle w:val="4"/>
        <w:keepNext w:val="0"/>
        <w:keepLines w:val="0"/>
        <w:rPr>
          <w:rFonts w:cs="Times New Roman"/>
        </w:rPr>
      </w:pPr>
      <w:bookmarkStart w:id="8" w:name="OLE_LINK7"/>
      <w:r>
        <w:rPr>
          <w:rFonts w:hint="eastAsia" w:cs="Times New Roman"/>
        </w:rPr>
        <w:t>1. 强化统筹引领，筑牢学风根基</w:t>
      </w:r>
    </w:p>
    <w:p w14:paraId="065EE51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构建党政齐抓、教学协同、学工联动、班级参与的学风建设长效机制，通过召开教职工大会、辅导员专题会，明确核心要点，完善工作体系。创新开展“师生面对面・你说我听”活动10余场，搭建“零距离”沟通桥梁，厚植教学相长氛围。以思想引领为牵引，融合诚信教育、学风培育与思政教育，依托“学风建设月”开展30余场主题班会、朋辈沙龙，引导学生厚植专业兴趣、规划学业生涯。全院凝聚“学风建设人人有责，建设成果人人共享”共识，获评2025年学风建设月活动先进集体三等奖。</w:t>
      </w:r>
    </w:p>
    <w:bookmarkEnd w:id="8"/>
    <w:p w14:paraId="323F6080">
      <w:pPr>
        <w:pStyle w:val="4"/>
        <w:keepNext w:val="0"/>
        <w:keepLines w:val="0"/>
        <w:rPr>
          <w:rFonts w:cs="Times New Roman"/>
        </w:rPr>
      </w:pPr>
      <w:bookmarkStart w:id="9" w:name="OLE_LINK8"/>
      <w:bookmarkStart w:id="10" w:name="OLE_LINK9"/>
      <w:r>
        <w:rPr>
          <w:rFonts w:hint="eastAsia" w:cs="Times New Roman"/>
        </w:rPr>
        <w:t>2. 织密管理网络，筑牢安全屏障</w:t>
      </w:r>
    </w:p>
    <w:p w14:paraId="1B047EF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修订完善课堂、宿舍、舞蹈房、琴房等11项常规管理制度，依托网格化管理模式，建立“辅导员—楼层长—宿舍长”三级安全日查机制，累计开展千余次检查。搭建“你有诉求・我有回应”沟通平台，整合今日校园APP、班级及宿舍群等多元渠道，推动思想教育与服务下沉宿舍，对学生反映的学业、生活、心理等诉求，第一时间响应、精准帮扶。常态化开展国家安全、网络安全等各类安全主题讲座30余次，设置安全宣传专栏，发布“每周一案”典型案例40余篇，持续提升学生安全防范意识，筑牢校园安全思想根基。</w:t>
      </w:r>
    </w:p>
    <w:bookmarkEnd w:id="9"/>
    <w:bookmarkEnd w:id="10"/>
    <w:p w14:paraId="0641F439">
      <w:pPr>
        <w:pStyle w:val="4"/>
        <w:keepNext w:val="0"/>
        <w:keepLines w:val="0"/>
        <w:rPr>
          <w:rFonts w:cs="Times New Roman"/>
        </w:rPr>
      </w:pPr>
      <w:bookmarkStart w:id="11" w:name="OLE_LINK11"/>
      <w:bookmarkStart w:id="12" w:name="OLE_LINK10"/>
      <w:r>
        <w:rPr>
          <w:rFonts w:hint="eastAsia" w:cs="Times New Roman"/>
        </w:rPr>
        <w:t>3. 精准心理疏导，护航健康成长</w:t>
      </w:r>
    </w:p>
    <w:p w14:paraId="2CD3C79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聚焦学生身心健康发展，构建“学工办—心理辅导员—心理委员—宿舍心理气象员”四级心理健康教育联动网络，通过“八必谈”全覆盖、辅导员深入一线、定期召开心理工作例会等方式动态监测学生心理状态，依托大学生心理卫生协会开展心灵电影展、交流会等各类心理活动36场，打造“社区心理服务圈”，同步推进“师范生心理育人工作能力提升”专项工程，相关成效显著，心理微剧场《三人行》荣获江苏省第四届心理情景剧—心理微剧场赛事一等奖；学院获评第二十一届5・25大学生心理健康节最佳组织奖；作品《家校共育，以心传心》斩获苏北地区高校2025年心理健康教育主题活动—“以德育心”主题班会大赛三等奖。</w:t>
      </w:r>
    </w:p>
    <w:bookmarkEnd w:id="11"/>
    <w:bookmarkEnd w:id="12"/>
    <w:p w14:paraId="1F84F088">
      <w:pPr>
        <w:pStyle w:val="3"/>
        <w:keepNext w:val="0"/>
        <w:keepLines w:val="0"/>
        <w:rPr>
          <w:rFonts w:cs="Times New Roman"/>
          <w:b/>
          <w:bCs w:val="0"/>
        </w:rPr>
      </w:pPr>
      <w:r>
        <w:rPr>
          <w:rFonts w:hint="eastAsia" w:cs="Times New Roman"/>
          <w:b/>
          <w:bCs w:val="0"/>
        </w:rPr>
        <w:t>（三）抓实就业创业 彰显育人成效</w:t>
      </w:r>
    </w:p>
    <w:p w14:paraId="6BD8AF37">
      <w:pPr>
        <w:pStyle w:val="4"/>
        <w:keepNext w:val="0"/>
        <w:keepLines w:val="0"/>
        <w:rPr>
          <w:rFonts w:cs="Times New Roman"/>
        </w:rPr>
      </w:pPr>
      <w:bookmarkStart w:id="13" w:name="OLE_LINK12"/>
      <w:r>
        <w:rPr>
          <w:rFonts w:hint="eastAsia" w:cs="Times New Roman"/>
        </w:rPr>
        <w:t>1. 聚焦生涯规划，赋能成长成才</w:t>
      </w:r>
    </w:p>
    <w:p w14:paraId="2F69304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生涯教育贯穿大学四年全周期理念，结合不同年级学生生涯发展阶段性特征，构建差异化、精准化生涯育人活动体系。组织新生完成霍兰德职业兴趣与能力测评，举办“致四年后的自己”书信征集、“职业启航・朋辈同行”经验分享会等特色活动30余场；成立“朋辈辅导站・生涯工作坊”，在学生社区设立专项咨询点，为学生提供一对一个性化生涯咨询指导服务。搭建校友赋能平台，开设校友讲坛，成功举办“园长面对面”“校长分享会”等系列主题沙龙20余场次，为学生生涯发展提供实践参考与经验借鉴。同时，学院着力构建“以赛代练、以赛促学、以赛促创”的科创育人平台，广泛动员组织学生参与各级各类创新创业竞赛，以竞赛实践锤炼学生综合素养，助力成长成才。2025年，学院学子荣获</w:t>
      </w:r>
      <w:r>
        <w:rPr>
          <w:rFonts w:hint="eastAsia" w:ascii="Times New Roman" w:hAnsi="Times New Roman" w:eastAsia="仿宋_GB2312" w:cs="Times New Roman"/>
          <w:sz w:val="32"/>
          <w:szCs w:val="32"/>
        </w:rPr>
        <w:t>第十九届“挑战杯”全国大学生课外学术科技作品竞赛省赛一等奖、</w:t>
      </w:r>
      <w:r>
        <w:rPr>
          <w:rFonts w:hint="eastAsia" w:ascii="仿宋_GB2312" w:hAnsi="仿宋_GB2312" w:eastAsia="仿宋_GB2312" w:cs="仿宋_GB2312"/>
          <w:sz w:val="32"/>
          <w:szCs w:val="32"/>
        </w:rPr>
        <w:t>第十届全省学生“学宪法 讲宪法”法治情景剧比赛一等奖1项、“正大杯”第十五届全国大学生市场调查与分析大赛三等奖1项。</w:t>
      </w:r>
    </w:p>
    <w:bookmarkEnd w:id="13"/>
    <w:p w14:paraId="711ED5EF">
      <w:pPr>
        <w:pStyle w:val="4"/>
        <w:keepNext w:val="0"/>
        <w:keepLines w:val="0"/>
        <w:rPr>
          <w:rFonts w:cs="Times New Roman"/>
        </w:rPr>
      </w:pPr>
      <w:r>
        <w:rPr>
          <w:rFonts w:hint="eastAsia" w:cs="Times New Roman"/>
        </w:rPr>
        <w:t>2. 优化资源布局，拓宽就业赛道</w:t>
      </w:r>
    </w:p>
    <w:p w14:paraId="4F318DAA">
      <w:pPr>
        <w:spacing w:line="560" w:lineRule="exact"/>
        <w:ind w:firstLine="640" w:firstLineChars="200"/>
        <w:rPr>
          <w:rFonts w:hint="eastAsia" w:ascii="仿宋_GB2312" w:hAnsi="仿宋_GB2312" w:eastAsia="仿宋_GB2312" w:cs="仿宋_GB2312"/>
          <w:sz w:val="32"/>
          <w:szCs w:val="32"/>
        </w:rPr>
      </w:pPr>
      <w:bookmarkStart w:id="14" w:name="OLE_LINK4"/>
      <w:r>
        <w:rPr>
          <w:rFonts w:hint="eastAsia" w:ascii="仿宋_GB2312" w:hAnsi="仿宋_GB2312" w:eastAsia="仿宋_GB2312" w:cs="仿宋_GB2312"/>
          <w:sz w:val="32"/>
          <w:szCs w:val="32"/>
        </w:rPr>
        <w:t>成立书记、院长双组长制就业工作领导小组，班子成员任副组长，辅导员、班主任为核心成员，紧扣专业特色与学生实际，健全“领导主抓、中心统筹、学团主力、全院参与、社区联动”就业工作体系。2025年，通过线上线下多渠道推介招聘活动80余场，举办考研考编分享会、就业推进会等各类活动22场，开展师范生专场招聘会5场，联动社区搭建就业信息对接平台；走访合作企业6家，新增就业基地2个，组织签订就业工作目标责任书，全方位保障学生充分就业。学院获评2025年度招生工作先进集体、考研工作先进集体荣誉。</w:t>
      </w:r>
    </w:p>
    <w:bookmarkEnd w:id="14"/>
    <w:p w14:paraId="443602FE">
      <w:pPr>
        <w:pStyle w:val="3"/>
        <w:keepNext w:val="0"/>
        <w:keepLines w:val="0"/>
        <w:rPr>
          <w:rFonts w:cs="Times New Roman"/>
          <w:b/>
          <w:bCs w:val="0"/>
        </w:rPr>
      </w:pPr>
      <w:r>
        <w:rPr>
          <w:rFonts w:hint="eastAsia" w:cs="Times New Roman"/>
          <w:b/>
          <w:bCs w:val="0"/>
        </w:rPr>
        <w:t>（四）丰富校园生活 厚植文化根脉</w:t>
      </w:r>
    </w:p>
    <w:p w14:paraId="634AA0B9">
      <w:pPr>
        <w:pStyle w:val="4"/>
        <w:keepNext w:val="0"/>
        <w:keepLines w:val="0"/>
        <w:rPr>
          <w:rFonts w:cs="Times New Roman"/>
        </w:rPr>
      </w:pPr>
      <w:bookmarkStart w:id="15" w:name="OLE_LINK15"/>
      <w:bookmarkStart w:id="16" w:name="OLE_LINK14"/>
      <w:bookmarkStart w:id="17" w:name="OLE_LINK16"/>
      <w:r>
        <w:rPr>
          <w:rFonts w:hint="eastAsia" w:cs="Times New Roman"/>
        </w:rPr>
        <w:t>1. 以文化建设赋能专业发展</w:t>
      </w:r>
    </w:p>
    <w:p w14:paraId="64D2FEE0">
      <w:pPr>
        <w:spacing w:line="560" w:lineRule="exact"/>
        <w:ind w:firstLine="640" w:firstLineChars="200"/>
        <w:rPr>
          <w:rFonts w:ascii="Times New Roman" w:hAnsi="Times New Roman" w:eastAsia="仿宋" w:cs="Times New Roman"/>
          <w:bCs/>
          <w:sz w:val="32"/>
          <w:szCs w:val="32"/>
        </w:rPr>
      </w:pPr>
      <w:r>
        <w:rPr>
          <w:rFonts w:hint="eastAsia" w:ascii="仿宋_GB2312" w:hAnsi="仿宋_GB2312" w:eastAsia="仿宋_GB2312" w:cs="仿宋_GB2312"/>
          <w:sz w:val="32"/>
          <w:szCs w:val="32"/>
        </w:rPr>
        <w:t>秉持“文化浸润+专业实践”双轮驱动理念，以“一站式”学生社区为核心阵地，推动文化建设与专业发展深度融合，助力学生全面成长。精心策划“声动双节・音为有你”声音表白、“情系祖国・月寄心愿”主题征集等特色活动30余场，覆盖学生近千人次，让传统文化在沉浸式体验中浸润心灵。聚焦第二课堂育人实效，依托“教育文化节”“师范生技能展”两大平台，组织各专业学生，紧扣专业特色创作三字两画、歌舞、手语操等7大类文艺作品500余件，实现“以文化育素养、以专业强技能”的育人目标。成功承办第二十七届“创新杯”校园舞蹈大赛、新四军革命故事宣讲大赛，</w:t>
      </w:r>
      <w:r>
        <w:rPr>
          <w:rFonts w:hint="eastAsia" w:ascii="仿宋_GB2312" w:hAnsi="仿宋_GB2312" w:eastAsia="仿宋_GB2312" w:cs="仿宋_GB2312"/>
          <w:bCs/>
          <w:sz w:val="32"/>
          <w:szCs w:val="32"/>
        </w:rPr>
        <w:t>参赛作品《九州齐舞，同心筑梦》《江宁算盘里的 “中国心”》均获一等奖。</w:t>
      </w:r>
    </w:p>
    <w:bookmarkEnd w:id="15"/>
    <w:bookmarkEnd w:id="16"/>
    <w:bookmarkEnd w:id="17"/>
    <w:p w14:paraId="48603914">
      <w:pPr>
        <w:pStyle w:val="4"/>
        <w:keepNext w:val="0"/>
        <w:keepLines w:val="0"/>
        <w:rPr>
          <w:rFonts w:cs="Times New Roman"/>
        </w:rPr>
      </w:pPr>
      <w:r>
        <w:rPr>
          <w:rFonts w:hint="eastAsia" w:cs="Times New Roman"/>
        </w:rPr>
        <w:t>2. 以社会服务深化育人实践</w:t>
      </w:r>
    </w:p>
    <w:p w14:paraId="5DBD5751">
      <w:pPr>
        <w:spacing w:line="560" w:lineRule="exact"/>
        <w:ind w:firstLine="640" w:firstLineChars="200"/>
        <w:rPr>
          <w:rFonts w:hint="eastAsia" w:ascii="仿宋_GB2312" w:hAnsi="仿宋_GB2312" w:eastAsia="仿宋_GB2312" w:cs="仿宋_GB2312"/>
          <w:sz w:val="32"/>
          <w:szCs w:val="32"/>
        </w:rPr>
      </w:pPr>
      <w:bookmarkStart w:id="18" w:name="OLE_LINK17"/>
      <w:bookmarkStart w:id="19" w:name="OLE_LINK18"/>
      <w:r>
        <w:rPr>
          <w:rFonts w:hint="eastAsia" w:ascii="仿宋_GB2312" w:hAnsi="仿宋_GB2312" w:eastAsia="仿宋_GB2312" w:cs="仿宋_GB2312"/>
          <w:sz w:val="32"/>
          <w:szCs w:val="32"/>
        </w:rPr>
        <w:t>构建“社会实践与专业学习相融合、与服务社会相衔接、与社区育人相促进”的管理机制，创新实践组织模式，统筹组织学生参与社区服务、乡村调研、企业实习等各类社会实践活动。2025年暑期，学院“点亮微光・盐青先行”（第三季）党团志愿服务团16名支教队员，赴高尚镇中心小学开展为期半个月的支教服务，惠及当地学生156名。作为第三次赴桂开展支教工作的团队，队员们精心构建“红心铸魂・青史育人”思政课堂、“山水传薪・民族铸韵”民族课堂等六大特色课程体系，为当地学生提供了多元立体的文化滋养。支教期间，队员们以饱满的热情、扎实的作风与强烈的责任担当传递青春温暖。相关活动被《中国教育报》《中国青年报》等权威媒体报道，形成良好社会反响，学院获评暑期社会实践活动先进集体。</w:t>
      </w:r>
    </w:p>
    <w:bookmarkEnd w:id="18"/>
    <w:bookmarkEnd w:id="19"/>
    <w:p w14:paraId="12981619">
      <w:pPr>
        <w:pStyle w:val="3"/>
        <w:keepNext w:val="0"/>
        <w:keepLines w:val="0"/>
        <w:rPr>
          <w:rFonts w:cs="Times New Roman"/>
          <w:b/>
          <w:bCs w:val="0"/>
        </w:rPr>
      </w:pPr>
      <w:r>
        <w:rPr>
          <w:rFonts w:hint="eastAsia" w:cs="Times New Roman"/>
          <w:b/>
          <w:bCs w:val="0"/>
        </w:rPr>
        <w:t>（五）强化队伍建设 夯实育人效能</w:t>
      </w:r>
    </w:p>
    <w:p w14:paraId="4C8A6C36">
      <w:pPr>
        <w:pStyle w:val="4"/>
        <w:keepNext w:val="0"/>
        <w:keepLines w:val="0"/>
        <w:rPr>
          <w:rFonts w:cs="Times New Roman"/>
        </w:rPr>
      </w:pPr>
      <w:r>
        <w:rPr>
          <w:rFonts w:hint="eastAsia" w:cs="Times New Roman"/>
        </w:rPr>
        <w:t>1. 完善辅导员队伍建设机制</w:t>
      </w:r>
    </w:p>
    <w:p w14:paraId="76D4874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始终将思想引领贯穿队伍建设全过程，以“学习型、研究型、创新型、实干型、合作型”为目标，推进学工队伍专业化建设，强化辅导员育人职责。通过每周召开辅导员工作例会，围绕社区学生管理、班级建设、思想动态研判、校园安全等重点工作开展研讨交流，提升队伍综合素养。1名辅导员获评“十佳辅导员”，2名辅导员获评“优秀辅导员”。</w:t>
      </w:r>
    </w:p>
    <w:p w14:paraId="020638B7">
      <w:pPr>
        <w:pStyle w:val="4"/>
        <w:keepNext w:val="0"/>
        <w:keepLines w:val="0"/>
        <w:rPr>
          <w:rFonts w:cs="Times New Roman"/>
        </w:rPr>
      </w:pPr>
      <w:r>
        <w:rPr>
          <w:rFonts w:hint="eastAsia" w:cs="Times New Roman"/>
        </w:rPr>
        <w:t>2. 加强学生干部队伍建设</w:t>
      </w:r>
    </w:p>
    <w:p w14:paraId="1989543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全“辅导员+部门+学生骨干”“一对一（多）”指导机制，规范工作计划制定与工作汇报流程，稳步提升学生干部履职效能。累计召开2024-2025学年学生干部述职暨能力培训会、部门工作交流座谈会50余场，重点围绕志愿服务开展、活动策划组织等核心工作开展研讨。学院获评2025年第五届资助文化节优秀组织奖，在盐城师范学院第二十六届田径运动会中，学生女子团体总分全校第三名，同时获评最佳表演方阵、最佳体育道德风尚奖。统筹组织学团干部、社区骨干参与校团委2025年“青年马克思主义者培养工程”培训班，切实提升青年学生骨干的综合素养与组织协调能力。</w:t>
      </w:r>
    </w:p>
    <w:p w14:paraId="355A44BD">
      <w:pPr>
        <w:pStyle w:val="2"/>
        <w:ind w:firstLine="640"/>
        <w:rPr>
          <w:rFonts w:cs="Times New Roman"/>
          <w:szCs w:val="32"/>
        </w:rPr>
      </w:pPr>
      <w:r>
        <w:rPr>
          <w:rFonts w:cs="Times New Roman"/>
          <w:szCs w:val="32"/>
        </w:rPr>
        <w:t>六、社会服务</w:t>
      </w:r>
    </w:p>
    <w:p w14:paraId="7A73881D">
      <w:pPr>
        <w:pStyle w:val="3"/>
        <w:keepNext w:val="0"/>
        <w:keepLines w:val="0"/>
        <w:rPr>
          <w:rFonts w:cs="Times New Roman"/>
          <w:b/>
          <w:bCs w:val="0"/>
        </w:rPr>
      </w:pPr>
      <w:r>
        <w:rPr>
          <w:rFonts w:hint="eastAsia" w:cs="Times New Roman"/>
          <w:b/>
          <w:bCs w:val="0"/>
        </w:rPr>
        <w:t>（一）拓展社会服务广度</w:t>
      </w:r>
      <w:r>
        <w:rPr>
          <w:rFonts w:cs="Times New Roman"/>
          <w:b/>
          <w:bCs w:val="0"/>
        </w:rPr>
        <w:t xml:space="preserve"> </w:t>
      </w:r>
    </w:p>
    <w:p w14:paraId="3D39BB5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2025年，学院承办新疆、西藏、和江苏（盐城）等省区中小学（幼儿园）校园长、中小学骨干教师、幼儿园骨干教师、心理健康教师等培训项目，共培训教师累计600人次。</w:t>
      </w:r>
      <w:r>
        <w:rPr>
          <w:rFonts w:hint="eastAsia" w:ascii="仿宋_GB2312" w:hAnsi="仿宋_GB2312" w:eastAsia="仿宋_GB2312" w:cs="仿宋_GB2312"/>
          <w:bCs/>
          <w:sz w:val="32"/>
          <w:szCs w:val="32"/>
        </w:rPr>
        <w:t>依托“教师教育发展研究”、“新时代乡村教育研究”、“青少年心理健康研究”等学术团队，推动科研成果转化与社会服务。</w:t>
      </w:r>
      <w:r>
        <w:rPr>
          <w:rFonts w:hint="eastAsia" w:ascii="Times New Roman" w:hAnsi="Times New Roman" w:eastAsia="仿宋_GB2312" w:cs="Times New Roman"/>
          <w:sz w:val="32"/>
          <w:szCs w:val="32"/>
        </w:rPr>
        <w:t>2项咨政报告分别获省委主要领导和省人大常委会副主任肯定性批示。</w:t>
      </w:r>
    </w:p>
    <w:p w14:paraId="6AD4EDB7">
      <w:pPr>
        <w:pStyle w:val="3"/>
        <w:keepNext w:val="0"/>
        <w:keepLines w:val="0"/>
        <w:rPr>
          <w:rFonts w:cs="Times New Roman"/>
          <w:b/>
          <w:bCs w:val="0"/>
        </w:rPr>
      </w:pPr>
      <w:r>
        <w:rPr>
          <w:rFonts w:hint="eastAsia" w:cs="Times New Roman"/>
          <w:b/>
          <w:bCs w:val="0"/>
        </w:rPr>
        <w:t>（二）深化校地协同内涵</w:t>
      </w:r>
    </w:p>
    <w:p w14:paraId="1A40D799">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积极开展校地融合，为基础教育阶段的学校、教师、家长和学生学习、心理健康教育等工作进行服务与指导，以及技术开发。</w:t>
      </w:r>
      <w:r>
        <w:rPr>
          <w:rFonts w:hint="eastAsia" w:ascii="Times New Roman" w:hAnsi="Times New Roman" w:eastAsia="仿宋_GB2312" w:cs="Times New Roman"/>
          <w:sz w:val="32"/>
          <w:szCs w:val="32"/>
        </w:rPr>
        <w:t>与盐城市第一小学、响水县教育局、盐都区图书馆等合作共建，常态化开展教师挂职实践、教学科研协同攻关等项目，推动形成校地联动、成果共享、互惠共赢的长效机制。</w:t>
      </w:r>
    </w:p>
    <w:sectPr>
      <w:footerReference r:id="rId3" w:type="default"/>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40ADEBC-A63A-4FAE-B00E-B163D75BDB9C}"/>
  </w:font>
  <w:font w:name="楷体">
    <w:panose1 w:val="02010609060101010101"/>
    <w:charset w:val="86"/>
    <w:family w:val="modern"/>
    <w:pitch w:val="default"/>
    <w:sig w:usb0="800002BF" w:usb1="38CF7CFA" w:usb2="00000016" w:usb3="00000000" w:csb0="00040001" w:csb1="00000000"/>
    <w:embedRegular r:id="rId2" w:fontKey="{455FA7B9-EE8A-459C-ABD6-53E3B4625824}"/>
  </w:font>
  <w:font w:name="仿宋_GB2312">
    <w:panose1 w:val="02010609030101010101"/>
    <w:charset w:val="86"/>
    <w:family w:val="modern"/>
    <w:pitch w:val="default"/>
    <w:sig w:usb0="00000001" w:usb1="080E0000" w:usb2="00000000" w:usb3="00000000" w:csb0="00040000" w:csb1="00000000"/>
    <w:embedRegular r:id="rId3" w:fontKey="{C1AAAAFF-9800-422C-90F3-46CCE234B6C5}"/>
  </w:font>
  <w:font w:name="方正小标宋_GBK">
    <w:panose1 w:val="02000000000000000000"/>
    <w:charset w:val="86"/>
    <w:family w:val="script"/>
    <w:pitch w:val="default"/>
    <w:sig w:usb0="A00002BF" w:usb1="38CF7CFA" w:usb2="00082016" w:usb3="00000000" w:csb0="00040001" w:csb1="00000000"/>
    <w:embedRegular r:id="rId4" w:fontKey="{F34D4744-CB52-4D3E-9B7B-01458071FC91}"/>
  </w:font>
  <w:font w:name="仿宋">
    <w:panose1 w:val="02010609060101010101"/>
    <w:charset w:val="86"/>
    <w:family w:val="modern"/>
    <w:pitch w:val="default"/>
    <w:sig w:usb0="800002BF" w:usb1="38CF7CFA" w:usb2="00000016" w:usb3="00000000" w:csb0="00040001" w:csb1="00000000"/>
    <w:embedRegular r:id="rId5" w:fontKey="{96807226-4CB3-4176-BD1F-F9981B4E0208}"/>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4"/>
        <w:szCs w:val="24"/>
      </w:rPr>
      <w:id w:val="-1741009993"/>
    </w:sdtPr>
    <w:sdtEndPr>
      <w:rPr>
        <w:rFonts w:asciiTheme="majorEastAsia" w:hAnsiTheme="majorEastAsia" w:eastAsiaTheme="majorEastAsia"/>
        <w:sz w:val="24"/>
        <w:szCs w:val="24"/>
      </w:rPr>
    </w:sdtEndPr>
    <w:sdtContent>
      <w:p w14:paraId="0EE19E12">
        <w:pPr>
          <w:pStyle w:val="5"/>
          <w:spacing w:line="360" w:lineRule="auto"/>
          <w:jc w:val="center"/>
          <w:rPr>
            <w:rFonts w:hint="eastAsia" w:asciiTheme="majorEastAsia" w:hAnsiTheme="majorEastAsia" w:eastAsiaTheme="majorEastAsia"/>
            <w:sz w:val="24"/>
            <w:szCs w:val="24"/>
          </w:rPr>
        </w:pPr>
        <w:r>
          <w:rPr>
            <w:rFonts w:asciiTheme="majorEastAsia" w:hAnsiTheme="majorEastAsia" w:eastAsiaTheme="majorEastAsia"/>
            <w:sz w:val="24"/>
            <w:szCs w:val="24"/>
          </w:rPr>
          <w:fldChar w:fldCharType="begin"/>
        </w:r>
        <w:r>
          <w:rPr>
            <w:rFonts w:asciiTheme="majorEastAsia" w:hAnsiTheme="majorEastAsia" w:eastAsiaTheme="majorEastAsia"/>
            <w:sz w:val="24"/>
            <w:szCs w:val="24"/>
          </w:rPr>
          <w:instrText xml:space="preserve">PAGE   \* MERGEFORMAT</w:instrText>
        </w:r>
        <w:r>
          <w:rPr>
            <w:rFonts w:asciiTheme="majorEastAsia" w:hAnsiTheme="majorEastAsia" w:eastAsiaTheme="majorEastAsia"/>
            <w:sz w:val="24"/>
            <w:szCs w:val="24"/>
          </w:rPr>
          <w:fldChar w:fldCharType="separate"/>
        </w:r>
        <w:r>
          <w:rPr>
            <w:rFonts w:asciiTheme="majorEastAsia" w:hAnsiTheme="majorEastAsia" w:eastAsiaTheme="majorEastAsia"/>
            <w:sz w:val="24"/>
            <w:szCs w:val="24"/>
            <w:lang w:val="zh-CN"/>
          </w:rPr>
          <w:t>-</w:t>
        </w:r>
        <w:r>
          <w:rPr>
            <w:rFonts w:asciiTheme="majorEastAsia" w:hAnsiTheme="majorEastAsia" w:eastAsiaTheme="majorEastAsia"/>
            <w:sz w:val="24"/>
            <w:szCs w:val="24"/>
          </w:rPr>
          <w:t xml:space="preserve"> 13 -</w:t>
        </w:r>
        <w:r>
          <w:rPr>
            <w:rFonts w:asciiTheme="majorEastAsia" w:hAnsiTheme="majorEastAsia" w:eastAsiaTheme="majorEastAsia"/>
            <w:sz w:val="24"/>
            <w:szCs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A60"/>
    <w:rsid w:val="0001656E"/>
    <w:rsid w:val="00016A1E"/>
    <w:rsid w:val="000176A5"/>
    <w:rsid w:val="0002729F"/>
    <w:rsid w:val="000341D7"/>
    <w:rsid w:val="00040E9F"/>
    <w:rsid w:val="000479E3"/>
    <w:rsid w:val="0005588E"/>
    <w:rsid w:val="0006225B"/>
    <w:rsid w:val="00074F26"/>
    <w:rsid w:val="00076989"/>
    <w:rsid w:val="00086501"/>
    <w:rsid w:val="000D0B54"/>
    <w:rsid w:val="000E0507"/>
    <w:rsid w:val="000E2D72"/>
    <w:rsid w:val="0010286B"/>
    <w:rsid w:val="00103422"/>
    <w:rsid w:val="00110A5D"/>
    <w:rsid w:val="00113A6F"/>
    <w:rsid w:val="00124224"/>
    <w:rsid w:val="00127114"/>
    <w:rsid w:val="00153449"/>
    <w:rsid w:val="00163453"/>
    <w:rsid w:val="001656D0"/>
    <w:rsid w:val="001715B2"/>
    <w:rsid w:val="00193790"/>
    <w:rsid w:val="00195B90"/>
    <w:rsid w:val="001B07DE"/>
    <w:rsid w:val="001C15A4"/>
    <w:rsid w:val="001D09F7"/>
    <w:rsid w:val="001E620B"/>
    <w:rsid w:val="00207204"/>
    <w:rsid w:val="00216AE6"/>
    <w:rsid w:val="00245A85"/>
    <w:rsid w:val="002565DC"/>
    <w:rsid w:val="00257F71"/>
    <w:rsid w:val="00271773"/>
    <w:rsid w:val="002827BA"/>
    <w:rsid w:val="00282DEE"/>
    <w:rsid w:val="002C4F38"/>
    <w:rsid w:val="002E4C1C"/>
    <w:rsid w:val="002F1822"/>
    <w:rsid w:val="00321D3A"/>
    <w:rsid w:val="00332E1C"/>
    <w:rsid w:val="00333CB1"/>
    <w:rsid w:val="00334302"/>
    <w:rsid w:val="00373884"/>
    <w:rsid w:val="00385172"/>
    <w:rsid w:val="003B4CD5"/>
    <w:rsid w:val="003D70EE"/>
    <w:rsid w:val="003E391E"/>
    <w:rsid w:val="003E5713"/>
    <w:rsid w:val="003E72F8"/>
    <w:rsid w:val="003F0246"/>
    <w:rsid w:val="00400AA9"/>
    <w:rsid w:val="00401419"/>
    <w:rsid w:val="00412B45"/>
    <w:rsid w:val="00414F3D"/>
    <w:rsid w:val="004236E9"/>
    <w:rsid w:val="00424082"/>
    <w:rsid w:val="00431C43"/>
    <w:rsid w:val="004414E2"/>
    <w:rsid w:val="00444E3A"/>
    <w:rsid w:val="004A7C51"/>
    <w:rsid w:val="004B3360"/>
    <w:rsid w:val="004B44A4"/>
    <w:rsid w:val="004D1784"/>
    <w:rsid w:val="004D3F74"/>
    <w:rsid w:val="00511E11"/>
    <w:rsid w:val="00522671"/>
    <w:rsid w:val="00527CAF"/>
    <w:rsid w:val="00540DC0"/>
    <w:rsid w:val="0056039D"/>
    <w:rsid w:val="00564662"/>
    <w:rsid w:val="00567708"/>
    <w:rsid w:val="0058193B"/>
    <w:rsid w:val="005905DB"/>
    <w:rsid w:val="005A2603"/>
    <w:rsid w:val="005A5714"/>
    <w:rsid w:val="005B0455"/>
    <w:rsid w:val="005C2205"/>
    <w:rsid w:val="005C2C44"/>
    <w:rsid w:val="005C3C8D"/>
    <w:rsid w:val="005D218D"/>
    <w:rsid w:val="005E0B7D"/>
    <w:rsid w:val="005E4A2F"/>
    <w:rsid w:val="00601889"/>
    <w:rsid w:val="0060415E"/>
    <w:rsid w:val="0060642F"/>
    <w:rsid w:val="006165C8"/>
    <w:rsid w:val="00617973"/>
    <w:rsid w:val="00632C96"/>
    <w:rsid w:val="0063693E"/>
    <w:rsid w:val="006537E3"/>
    <w:rsid w:val="00675074"/>
    <w:rsid w:val="006C35A9"/>
    <w:rsid w:val="006D7AF4"/>
    <w:rsid w:val="00706396"/>
    <w:rsid w:val="00706962"/>
    <w:rsid w:val="0072780C"/>
    <w:rsid w:val="007347CC"/>
    <w:rsid w:val="0076123D"/>
    <w:rsid w:val="00780275"/>
    <w:rsid w:val="0078084F"/>
    <w:rsid w:val="00792B25"/>
    <w:rsid w:val="007B4EC3"/>
    <w:rsid w:val="007D65C5"/>
    <w:rsid w:val="007E7D8E"/>
    <w:rsid w:val="007F6DD8"/>
    <w:rsid w:val="0082429D"/>
    <w:rsid w:val="0085422B"/>
    <w:rsid w:val="00866D2B"/>
    <w:rsid w:val="00874510"/>
    <w:rsid w:val="00875B8E"/>
    <w:rsid w:val="00885247"/>
    <w:rsid w:val="008966B0"/>
    <w:rsid w:val="008B0569"/>
    <w:rsid w:val="008D38FC"/>
    <w:rsid w:val="008E0450"/>
    <w:rsid w:val="008E2BD7"/>
    <w:rsid w:val="009340C9"/>
    <w:rsid w:val="0098365D"/>
    <w:rsid w:val="0098432F"/>
    <w:rsid w:val="0098747F"/>
    <w:rsid w:val="009C409D"/>
    <w:rsid w:val="009D2228"/>
    <w:rsid w:val="009D3C21"/>
    <w:rsid w:val="00A07A29"/>
    <w:rsid w:val="00A11E3F"/>
    <w:rsid w:val="00A40E2C"/>
    <w:rsid w:val="00A576FF"/>
    <w:rsid w:val="00A70644"/>
    <w:rsid w:val="00A74751"/>
    <w:rsid w:val="00A80BB6"/>
    <w:rsid w:val="00AB4B57"/>
    <w:rsid w:val="00AC0F3E"/>
    <w:rsid w:val="00AD1718"/>
    <w:rsid w:val="00AE0987"/>
    <w:rsid w:val="00B070CD"/>
    <w:rsid w:val="00B07937"/>
    <w:rsid w:val="00B11486"/>
    <w:rsid w:val="00B12E2A"/>
    <w:rsid w:val="00B15C62"/>
    <w:rsid w:val="00B3443A"/>
    <w:rsid w:val="00B372AB"/>
    <w:rsid w:val="00B56B3D"/>
    <w:rsid w:val="00B62C71"/>
    <w:rsid w:val="00B71989"/>
    <w:rsid w:val="00B7333E"/>
    <w:rsid w:val="00B839F7"/>
    <w:rsid w:val="00B93C3C"/>
    <w:rsid w:val="00BA70CD"/>
    <w:rsid w:val="00BB3295"/>
    <w:rsid w:val="00BB5F1B"/>
    <w:rsid w:val="00BD556E"/>
    <w:rsid w:val="00BE2E89"/>
    <w:rsid w:val="00BF4097"/>
    <w:rsid w:val="00C003E5"/>
    <w:rsid w:val="00C144BD"/>
    <w:rsid w:val="00C46B0F"/>
    <w:rsid w:val="00C51BF9"/>
    <w:rsid w:val="00C5316B"/>
    <w:rsid w:val="00C92B76"/>
    <w:rsid w:val="00CA4400"/>
    <w:rsid w:val="00CB493E"/>
    <w:rsid w:val="00CD48B3"/>
    <w:rsid w:val="00CD60E4"/>
    <w:rsid w:val="00D108BD"/>
    <w:rsid w:val="00D144F4"/>
    <w:rsid w:val="00D146B9"/>
    <w:rsid w:val="00D42909"/>
    <w:rsid w:val="00D43109"/>
    <w:rsid w:val="00D62201"/>
    <w:rsid w:val="00D71710"/>
    <w:rsid w:val="00D83A18"/>
    <w:rsid w:val="00D9052B"/>
    <w:rsid w:val="00DB257D"/>
    <w:rsid w:val="00DD7A60"/>
    <w:rsid w:val="00E14510"/>
    <w:rsid w:val="00E203C1"/>
    <w:rsid w:val="00E35300"/>
    <w:rsid w:val="00E66BD9"/>
    <w:rsid w:val="00E73C01"/>
    <w:rsid w:val="00E77C88"/>
    <w:rsid w:val="00E84F34"/>
    <w:rsid w:val="00E85F89"/>
    <w:rsid w:val="00E92ABA"/>
    <w:rsid w:val="00EA337E"/>
    <w:rsid w:val="00EA3AE6"/>
    <w:rsid w:val="00EB06EA"/>
    <w:rsid w:val="00ED1987"/>
    <w:rsid w:val="00ED2EFE"/>
    <w:rsid w:val="00ED3A6E"/>
    <w:rsid w:val="00ED79AC"/>
    <w:rsid w:val="00EE0650"/>
    <w:rsid w:val="00F02D39"/>
    <w:rsid w:val="00F14044"/>
    <w:rsid w:val="00F31BD3"/>
    <w:rsid w:val="00F34206"/>
    <w:rsid w:val="00F5189C"/>
    <w:rsid w:val="00F570D1"/>
    <w:rsid w:val="00F65B86"/>
    <w:rsid w:val="00F76B6C"/>
    <w:rsid w:val="00FA343A"/>
    <w:rsid w:val="00FA5AE7"/>
    <w:rsid w:val="00FC4799"/>
    <w:rsid w:val="00FD2289"/>
    <w:rsid w:val="058E3070"/>
    <w:rsid w:val="19497CF2"/>
    <w:rsid w:val="21BE06FC"/>
    <w:rsid w:val="235A5FC2"/>
    <w:rsid w:val="2EA9088F"/>
    <w:rsid w:val="363B2C08"/>
    <w:rsid w:val="3D642100"/>
    <w:rsid w:val="4323487E"/>
    <w:rsid w:val="4D926F2D"/>
    <w:rsid w:val="4E231E52"/>
    <w:rsid w:val="4F230E53"/>
    <w:rsid w:val="63E9534B"/>
    <w:rsid w:val="64297F71"/>
    <w:rsid w:val="6EFF78C3"/>
    <w:rsid w:val="7B1D3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60" w:lineRule="exact"/>
      <w:ind w:firstLine="200" w:firstLineChars="200"/>
      <w:outlineLvl w:val="0"/>
    </w:pPr>
    <w:rPr>
      <w:rFonts w:ascii="Times New Roman" w:hAnsi="Times New Roman" w:eastAsia="黑体"/>
      <w:bCs/>
      <w:kern w:val="44"/>
      <w:sz w:val="32"/>
      <w:szCs w:val="44"/>
    </w:rPr>
  </w:style>
  <w:style w:type="paragraph" w:styleId="3">
    <w:name w:val="heading 2"/>
    <w:basedOn w:val="1"/>
    <w:next w:val="1"/>
    <w:unhideWhenUsed/>
    <w:qFormat/>
    <w:uiPriority w:val="0"/>
    <w:pPr>
      <w:keepNext/>
      <w:keepLines/>
      <w:spacing w:line="560" w:lineRule="exact"/>
      <w:ind w:firstLine="643" w:firstLineChars="200"/>
      <w:outlineLvl w:val="1"/>
    </w:pPr>
    <w:rPr>
      <w:rFonts w:ascii="Times New Roman" w:hAnsi="Times New Roman" w:eastAsia="楷体" w:cstheme="majorBidi"/>
      <w:bCs/>
      <w:sz w:val="32"/>
      <w:szCs w:val="32"/>
    </w:rPr>
  </w:style>
  <w:style w:type="paragraph" w:styleId="4">
    <w:name w:val="heading 3"/>
    <w:basedOn w:val="1"/>
    <w:next w:val="1"/>
    <w:unhideWhenUsed/>
    <w:qFormat/>
    <w:uiPriority w:val="0"/>
    <w:pPr>
      <w:keepNext/>
      <w:keepLines/>
      <w:spacing w:line="560" w:lineRule="exact"/>
      <w:ind w:firstLine="643" w:firstLineChars="200"/>
      <w:outlineLvl w:val="2"/>
    </w:pPr>
    <w:rPr>
      <w:rFonts w:ascii="Times New Roman" w:hAnsi="Times New Roman" w:eastAsia="仿宋_GB2312"/>
      <w:b/>
      <w:bCs/>
      <w:sz w:val="32"/>
      <w:szCs w:val="3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link w:val="9"/>
    <w:qFormat/>
    <w:uiPriority w:val="0"/>
    <w:pPr>
      <w:tabs>
        <w:tab w:val="center" w:pos="4153"/>
        <w:tab w:val="right" w:pos="8306"/>
      </w:tabs>
      <w:snapToGrid w:val="0"/>
      <w:jc w:val="center"/>
    </w:pPr>
    <w:rPr>
      <w:sz w:val="18"/>
      <w:szCs w:val="18"/>
    </w:rPr>
  </w:style>
  <w:style w:type="character" w:customStyle="1" w:styleId="9">
    <w:name w:val="页眉 字符"/>
    <w:basedOn w:val="8"/>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F2D57-5F77-4850-958B-2F109CC3C907}">
  <ds:schemaRefs/>
</ds:datastoreItem>
</file>

<file path=docProps/app.xml><?xml version="1.0" encoding="utf-8"?>
<Properties xmlns="http://schemas.openxmlformats.org/officeDocument/2006/extended-properties" xmlns:vt="http://schemas.openxmlformats.org/officeDocument/2006/docPropsVTypes">
  <Template>Normal</Template>
  <Pages>20</Pages>
  <Words>10989</Words>
  <Characters>11178</Characters>
  <Lines>228</Lines>
  <Paragraphs>88</Paragraphs>
  <TotalTime>82</TotalTime>
  <ScaleCrop>false</ScaleCrop>
  <LinksUpToDate>false</LinksUpToDate>
  <CharactersWithSpaces>11210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2025-12-11T08:32:00Z</dcterms:created>
  <dc:creator>pc-02</dc:creator>
  <cp:lastModifiedBy>团团蛋蛋</cp:lastModifiedBy>
  <cp:lastPrinted>2025-12-17T02:02:00Z</cp:lastPrinted>
  <dcterms:modified xsi:type="dcterms:W3CDTF">2025-12-18T09:27:34Z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eyJoZGlkIjoiNjE1Njk2MzczZjJlMmU1OTNhNTVmMzhkNzVhY2E4NGYiLCJ1c2VySWQiOiIzODUzMjI5NTcifQ==</vt:lpwstr>
  </property>
  <property fmtid="{D5CDD505-2E9C-101B-9397-08002B2CF9AE}" pid="4" name="ICV">
    <vt:lpwstr>6B7D83F7CE34402E9348553112706E55_13</vt:lpwstr>
  </property>
</Properties>
</file>