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C682F">
      <w:pPr>
        <w:keepNext w:val="0"/>
        <w:keepLines w:val="0"/>
        <w:pageBreakBefore w:val="0"/>
        <w:kinsoku/>
        <w:wordWrap/>
        <w:overflowPunct/>
        <w:topLinePunct w:val="0"/>
        <w:autoSpaceDE/>
        <w:autoSpaceDN/>
        <w:bidi w:val="0"/>
        <w:adjustRightInd/>
        <w:snapToGrid w:val="0"/>
        <w:spacing w:line="520" w:lineRule="exact"/>
        <w:ind w:firstLine="883" w:firstLineChars="200"/>
        <w:jc w:val="both"/>
        <w:textAlignment w:val="auto"/>
        <w:rPr>
          <w:rFonts w:hint="eastAsia"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b/>
          <w:bCs/>
          <w:color w:val="auto"/>
          <w:sz w:val="44"/>
          <w:szCs w:val="44"/>
          <w:highlight w:val="none"/>
        </w:rPr>
        <w:t>数学与统计学院202</w:t>
      </w:r>
      <w:r>
        <w:rPr>
          <w:rFonts w:hint="eastAsia" w:ascii="方正小标宋_GBK" w:hAnsi="方正小标宋_GBK" w:eastAsia="方正小标宋_GBK" w:cs="方正小标宋_GBK"/>
          <w:b/>
          <w:bCs/>
          <w:color w:val="auto"/>
          <w:sz w:val="44"/>
          <w:szCs w:val="44"/>
          <w:highlight w:val="none"/>
          <w:lang w:val="en-US" w:eastAsia="zh-CN"/>
        </w:rPr>
        <w:t>5</w:t>
      </w:r>
      <w:r>
        <w:rPr>
          <w:rFonts w:hint="eastAsia" w:ascii="方正小标宋_GBK" w:hAnsi="方正小标宋_GBK" w:eastAsia="方正小标宋_GBK" w:cs="方正小标宋_GBK"/>
          <w:b/>
          <w:bCs/>
          <w:color w:val="auto"/>
          <w:sz w:val="44"/>
          <w:szCs w:val="44"/>
          <w:highlight w:val="none"/>
        </w:rPr>
        <w:t>年工作总结</w:t>
      </w:r>
    </w:p>
    <w:p w14:paraId="1CC00E2A">
      <w:pPr>
        <w:keepNext w:val="0"/>
        <w:keepLines w:val="0"/>
        <w:pageBreakBefore w:val="0"/>
        <w:kinsoku/>
        <w:wordWrap/>
        <w:overflowPunct/>
        <w:topLinePunct w:val="0"/>
        <w:autoSpaceDE/>
        <w:autoSpaceDN/>
        <w:bidi w:val="0"/>
        <w:adjustRightInd/>
        <w:snapToGrid w:val="0"/>
        <w:spacing w:line="52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lang w:eastAsia="zh-CN"/>
        </w:rPr>
      </w:pPr>
    </w:p>
    <w:p w14:paraId="2107A9BA">
      <w:pPr>
        <w:keepNext w:val="0"/>
        <w:keepLines w:val="0"/>
        <w:pageBreakBefore w:val="0"/>
        <w:kinsoku/>
        <w:wordWrap/>
        <w:overflowPunct/>
        <w:topLinePunct w:val="0"/>
        <w:autoSpaceDE/>
        <w:autoSpaceDN/>
        <w:bidi w:val="0"/>
        <w:adjustRightInd/>
        <w:snapToGrid w:val="0"/>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2025年，数学与统计学院在学校党政领导下，以习近平新时代中国特色社会主义思想为根本遵循，践行新发展理念，紧扣二级学院目标考核核心任务，凝聚师生合力、勇毅前行，党建引领强根基，事业发展见实效，各项工作成果丰硕。</w:t>
      </w:r>
    </w:p>
    <w:p w14:paraId="14E8047E">
      <w:pPr>
        <w:keepNext w:val="0"/>
        <w:keepLines w:val="0"/>
        <w:pageBreakBefore w:val="0"/>
        <w:kinsoku/>
        <w:wordWrap/>
        <w:overflowPunct/>
        <w:topLinePunct w:val="0"/>
        <w:autoSpaceDE/>
        <w:autoSpaceDN/>
        <w:bidi w:val="0"/>
        <w:adjustRightInd/>
        <w:snapToGrid w:val="0"/>
        <w:spacing w:line="560" w:lineRule="exact"/>
        <w:ind w:leftChars="0" w:firstLine="643" w:firstLineChars="200"/>
        <w:jc w:val="both"/>
        <w:textAlignment w:val="auto"/>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一、党的建设</w:t>
      </w:r>
    </w:p>
    <w:p w14:paraId="05739DAA">
      <w:pPr>
        <w:keepNext w:val="0"/>
        <w:keepLines w:val="0"/>
        <w:pageBreakBefore w:val="0"/>
        <w:kinsoku/>
        <w:wordWrap/>
        <w:overflowPunct/>
        <w:topLinePunct w:val="0"/>
        <w:autoSpaceDE/>
        <w:autoSpaceDN/>
        <w:bidi w:val="0"/>
        <w:adjustRightInd/>
        <w:snapToGrid w:val="0"/>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1.深化理论武装，筑牢思想根基。严格执行“第一议题”制度，构建“党委领学、支部主学、全员覆盖”的立体化学习体系，系统组织学习党的二十</w:t>
      </w:r>
      <w:r>
        <w:rPr>
          <w:rFonts w:hint="eastAsia" w:ascii="仿宋_GB2312" w:hAnsi="仿宋_GB2312" w:eastAsia="仿宋_GB2312" w:cs="仿宋_GB2312"/>
          <w:b w:val="0"/>
          <w:bCs w:val="0"/>
          <w:color w:val="auto"/>
          <w:sz w:val="32"/>
          <w:szCs w:val="32"/>
          <w:highlight w:val="none"/>
          <w:lang w:eastAsia="zh-CN"/>
        </w:rPr>
        <w:t>届四中全会</w:t>
      </w:r>
      <w:r>
        <w:rPr>
          <w:rFonts w:hint="eastAsia" w:ascii="仿宋_GB2312" w:hAnsi="仿宋_GB2312" w:eastAsia="仿宋_GB2312" w:cs="仿宋_GB2312"/>
          <w:b w:val="0"/>
          <w:bCs w:val="0"/>
          <w:color w:val="auto"/>
          <w:sz w:val="32"/>
          <w:szCs w:val="32"/>
          <w:highlight w:val="none"/>
        </w:rPr>
        <w:t>及全国教育大会精神，深入学习贯彻习近平总书记关于教育的重要论述和教师队伍建设的重要指示精神。聚焦师德师风建设主线，开展“以教育家精神铸魂强师，谱写教育强国建设华章”系列主题教育，组织教师专题学习行为规范文件，引导教师践行立德树人使命。1名教师获评校2024年“立德树人”奖教金，1名教师获评校第二届“文华奖教金”。</w:t>
      </w:r>
    </w:p>
    <w:p w14:paraId="319CA34C">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建强领导班子，凝聚发展合力。严格落实党政议事决策制度，规范召开学院党委会和党政联席会议，确保决策科学民主。强化党委理论中心组学习实效，健全学习考核机制，保障学习时长与质量双达标。深入贯彻中央八项规定精神学习教育，通过读书研讨班、专家讲座等形式深化学习成效，推动领导班子以学促行、示范引领，形成团结务实、干事创业的浓厚氛围。</w:t>
      </w:r>
    </w:p>
    <w:p w14:paraId="2D16F47A">
      <w:pPr>
        <w:keepNext w:val="0"/>
        <w:keepLines w:val="0"/>
        <w:pageBreakBefore w:val="0"/>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rPr>
        <w:t>.夯实组织基础，提升党建质效</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深入推进基层党组织“强基创优”建设三年行动计划，党建“双创”工作成效突出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学院党委获</w:t>
      </w:r>
      <w:r>
        <w:rPr>
          <w:rFonts w:hint="eastAsia" w:ascii="仿宋_GB2312" w:hAnsi="仿宋_GB2312" w:eastAsia="仿宋_GB2312" w:cs="仿宋_GB2312"/>
          <w:b w:val="0"/>
          <w:bCs w:val="0"/>
          <w:color w:val="auto"/>
          <w:sz w:val="32"/>
          <w:szCs w:val="32"/>
          <w:highlight w:val="none"/>
          <w:lang w:eastAsia="zh-CN"/>
        </w:rPr>
        <w:t>批第二</w:t>
      </w:r>
      <w:r>
        <w:rPr>
          <w:rFonts w:hint="eastAsia" w:ascii="仿宋_GB2312" w:hAnsi="仿宋_GB2312" w:eastAsia="仿宋_GB2312" w:cs="仿宋_GB2312"/>
          <w:b w:val="0"/>
          <w:bCs w:val="0"/>
          <w:color w:val="auto"/>
          <w:sz w:val="32"/>
          <w:szCs w:val="32"/>
          <w:highlight w:val="none"/>
        </w:rPr>
        <w:t>批校级“强基创优”党建工作标杆学院培育建设单位，学生第一党支部通过首批校级党建工作样板支部验收结项，学生第二党支部获批</w:t>
      </w:r>
      <w:r>
        <w:rPr>
          <w:rFonts w:hint="eastAsia" w:ascii="仿宋_GB2312" w:hAnsi="仿宋_GB2312" w:eastAsia="仿宋_GB2312" w:cs="仿宋_GB2312"/>
          <w:b w:val="0"/>
          <w:bCs w:val="0"/>
          <w:color w:val="auto"/>
          <w:sz w:val="32"/>
          <w:szCs w:val="32"/>
          <w:highlight w:val="none"/>
          <w:lang w:eastAsia="zh-CN"/>
        </w:rPr>
        <w:t>第二批</w:t>
      </w:r>
      <w:r>
        <w:rPr>
          <w:rFonts w:hint="eastAsia" w:ascii="仿宋_GB2312" w:hAnsi="仿宋_GB2312" w:eastAsia="仿宋_GB2312" w:cs="仿宋_GB2312"/>
          <w:b w:val="0"/>
          <w:bCs w:val="0"/>
          <w:color w:val="auto"/>
          <w:sz w:val="32"/>
          <w:szCs w:val="32"/>
          <w:highlight w:val="none"/>
        </w:rPr>
        <w:t>校级党建工作样板支部培育建设单位。党员队伍建设稳步推进，全年发展党员33名，1</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名预备党员转正，89名学生被列为入党积极分子。</w:t>
      </w:r>
      <w:r>
        <w:rPr>
          <w:rFonts w:hint="eastAsia" w:ascii="仿宋_GB2312" w:hAnsi="仿宋_GB2312" w:eastAsia="仿宋_GB2312" w:cs="仿宋_GB2312"/>
          <w:b w:val="0"/>
          <w:bCs w:val="0"/>
          <w:color w:val="auto"/>
          <w:sz w:val="32"/>
          <w:szCs w:val="32"/>
          <w:highlight w:val="none"/>
          <w:lang w:eastAsia="zh-CN"/>
        </w:rPr>
        <w:t>组织</w:t>
      </w:r>
      <w:r>
        <w:rPr>
          <w:rFonts w:hint="eastAsia" w:ascii="仿宋_GB2312" w:hAnsi="仿宋_GB2312" w:eastAsia="仿宋_GB2312" w:cs="仿宋_GB2312"/>
          <w:b w:val="0"/>
          <w:bCs w:val="0"/>
          <w:color w:val="auto"/>
          <w:sz w:val="32"/>
          <w:szCs w:val="32"/>
          <w:highlight w:val="none"/>
        </w:rPr>
        <w:t>开展主题党日活动，深化党建与思政工作研究，学院党委获校2024年度基层党建工作创新奖一等奖、最佳党日活动二等奖各1项</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5名教师获评校2023-2024年度“优秀共产党员”，</w:t>
      </w:r>
      <w:r>
        <w:rPr>
          <w:rFonts w:hint="eastAsia" w:ascii="仿宋_GB2312" w:hAnsi="仿宋_GB2312" w:eastAsia="仿宋_GB2312" w:cs="仿宋_GB2312"/>
          <w:b w:val="0"/>
          <w:bCs w:val="0"/>
          <w:color w:val="auto"/>
          <w:sz w:val="32"/>
          <w:szCs w:val="32"/>
          <w:highlight w:val="none"/>
          <w:lang w:val="en-US" w:eastAsia="zh-CN"/>
        </w:rPr>
        <w:t>1名教师获评校“优秀党务工作者”，</w:t>
      </w:r>
      <w:r>
        <w:rPr>
          <w:rFonts w:hint="eastAsia" w:ascii="仿宋_GB2312" w:hAnsi="仿宋_GB2312" w:eastAsia="仿宋_GB2312" w:cs="仿宋_GB2312"/>
          <w:b w:val="0"/>
          <w:bCs w:val="0"/>
          <w:color w:val="auto"/>
          <w:sz w:val="32"/>
          <w:szCs w:val="32"/>
          <w:highlight w:val="none"/>
        </w:rPr>
        <w:t>学生第一党支部获评校“先进基层党支部”</w:t>
      </w:r>
      <w:r>
        <w:rPr>
          <w:rFonts w:hint="eastAsia" w:ascii="仿宋_GB2312" w:hAnsi="仿宋_GB2312" w:eastAsia="仿宋_GB2312" w:cs="仿宋_GB2312"/>
          <w:b w:val="0"/>
          <w:bCs w:val="0"/>
          <w:color w:val="auto"/>
          <w:sz w:val="32"/>
          <w:szCs w:val="32"/>
          <w:highlight w:val="none"/>
          <w:lang w:eastAsia="zh-CN"/>
        </w:rPr>
        <w:t>，获评校“铸魂育人 青春向党”党课“好课”</w:t>
      </w:r>
      <w:r>
        <w:rPr>
          <w:rFonts w:hint="eastAsia" w:ascii="仿宋_GB2312" w:hAnsi="仿宋_GB2312" w:eastAsia="仿宋_GB2312" w:cs="仿宋_GB2312"/>
          <w:b w:val="0"/>
          <w:bCs w:val="0"/>
          <w:color w:val="auto"/>
          <w:sz w:val="32"/>
          <w:szCs w:val="32"/>
          <w:highlight w:val="none"/>
          <w:lang w:val="en-US" w:eastAsia="zh-CN"/>
        </w:rPr>
        <w:t>4部</w:t>
      </w:r>
      <w:r>
        <w:rPr>
          <w:rFonts w:hint="eastAsia" w:ascii="仿宋_GB2312" w:hAnsi="仿宋_GB2312" w:eastAsia="仿宋_GB2312" w:cs="仿宋_GB2312"/>
          <w:b w:val="0"/>
          <w:bCs w:val="0"/>
          <w:color w:val="auto"/>
          <w:sz w:val="32"/>
          <w:szCs w:val="32"/>
          <w:highlight w:val="none"/>
        </w:rPr>
        <w:t>。“书记项目”建设持续深化，2024年度项目顺利结项，2025年度项目获重点立项，教职工第一党支部项目获一般立项</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教工第二党支部获评校“双带头人”教师党支部书记“强国行”专项行动团队。</w:t>
      </w:r>
    </w:p>
    <w:p w14:paraId="651DC94B">
      <w:pPr>
        <w:keepNext w:val="0"/>
        <w:keepLines w:val="0"/>
        <w:pageBreakBefore w:val="0"/>
        <w:kinsoku/>
        <w:wordWrap/>
        <w:overflowPunct/>
        <w:topLinePunct w:val="0"/>
        <w:autoSpaceDE/>
        <w:autoSpaceDN/>
        <w:bidi w:val="0"/>
        <w:adjustRightInd/>
        <w:snapToGrid w:val="0"/>
        <w:spacing w:line="560" w:lineRule="exact"/>
        <w:ind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.守牢宣传阵地，厚植文化底蕴</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以理论武装深化思想引领，常态化开展师生政治理论学习，精心组织健康向上的校园文化活动。严格把握舆论导向，积极配合学校新闻宣传工作，健全网络舆情监测处置机制。定期开展意识形态领域分析研判，强化阵地管理，确保意识形态安全。通过多元化宣传载体讲好学院故事，营造积极奋进的文化氛围。学院各项工作被</w:t>
      </w:r>
      <w:r>
        <w:rPr>
          <w:rFonts w:hint="eastAsia" w:ascii="仿宋_GB2312" w:hAnsi="仿宋_GB2312" w:eastAsia="仿宋_GB2312" w:cs="仿宋_GB2312"/>
          <w:b w:val="0"/>
          <w:bCs w:val="0"/>
          <w:color w:val="auto"/>
          <w:sz w:val="32"/>
          <w:szCs w:val="32"/>
          <w:highlight w:val="none"/>
          <w:lang w:eastAsia="zh-CN"/>
        </w:rPr>
        <w:t>“我苏客户端”、“扬子晚报网”、“紫牛新闻”、</w:t>
      </w:r>
      <w:r>
        <w:rPr>
          <w:rFonts w:hint="eastAsia" w:ascii="仿宋_GB2312" w:hAnsi="仿宋_GB2312" w:eastAsia="仿宋_GB2312" w:cs="仿宋_GB2312"/>
          <w:b w:val="0"/>
          <w:bCs w:val="0"/>
          <w:color w:val="auto"/>
          <w:sz w:val="32"/>
          <w:szCs w:val="32"/>
          <w:highlight w:val="none"/>
        </w:rPr>
        <w:t>《盐阜大众报》等省市</w:t>
      </w:r>
      <w:r>
        <w:rPr>
          <w:rFonts w:hint="eastAsia" w:ascii="仿宋_GB2312" w:hAnsi="仿宋_GB2312" w:eastAsia="仿宋_GB2312" w:cs="仿宋_GB2312"/>
          <w:b w:val="0"/>
          <w:bCs w:val="0"/>
          <w:color w:val="auto"/>
          <w:sz w:val="32"/>
          <w:szCs w:val="32"/>
          <w:highlight w:val="none"/>
          <w:lang w:eastAsia="zh-CN"/>
        </w:rPr>
        <w:t>级</w:t>
      </w:r>
      <w:r>
        <w:rPr>
          <w:rFonts w:hint="eastAsia" w:ascii="仿宋_GB2312" w:hAnsi="仿宋_GB2312" w:eastAsia="仿宋_GB2312" w:cs="仿宋_GB2312"/>
          <w:b w:val="0"/>
          <w:bCs w:val="0"/>
          <w:color w:val="auto"/>
          <w:sz w:val="32"/>
          <w:szCs w:val="32"/>
          <w:highlight w:val="none"/>
        </w:rPr>
        <w:t>以上媒体报道</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学院获评校第二届国际文化节先进集体。</w:t>
      </w:r>
    </w:p>
    <w:p w14:paraId="7D3FDDA2">
      <w:pPr>
        <w:keepNext w:val="0"/>
        <w:keepLines w:val="0"/>
        <w:pageBreakBefore w:val="0"/>
        <w:numPr>
          <w:ilvl w:val="0"/>
          <w:numId w:val="0"/>
        </w:numPr>
        <w:kinsoku/>
        <w:wordWrap/>
        <w:overflowPunct/>
        <w:topLinePunct w:val="0"/>
        <w:autoSpaceDE/>
        <w:autoSpaceDN/>
        <w:bidi w:val="0"/>
        <w:adjustRightInd/>
        <w:snapToGrid w:val="0"/>
        <w:spacing w:before="0" w:after="0"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5.深化廉政建设，涵养清风正气。坚定不移推进全面从严治党，构建横向到边、纵向到底的党风廉政建设责任网络，严格执行中央八项规定、省委十项规定及学校相关要求。深入开展中央八项规定精神专题学习，构建“领导班子领学、支部带学、党员自学”三级学习机制，高质量完成学习任务。常态化开展“510”警示教育系列活动，筑牢拒腐防变思想防线。学院党委获2025年校园廉洁文化活动项目一般项目立项1项。</w:t>
      </w:r>
    </w:p>
    <w:p w14:paraId="4A4AFBAE">
      <w:pPr>
        <w:keepNext w:val="0"/>
        <w:keepLines w:val="0"/>
        <w:pageBreakBefore w:val="0"/>
        <w:numPr>
          <w:ilvl w:val="0"/>
          <w:numId w:val="0"/>
        </w:numPr>
        <w:kinsoku/>
        <w:wordWrap/>
        <w:overflowPunct/>
        <w:topLinePunct w:val="0"/>
        <w:autoSpaceDE/>
        <w:autoSpaceDN/>
        <w:bidi w:val="0"/>
        <w:adjustRightInd/>
        <w:snapToGrid w:val="0"/>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6.凝聚统战力量，强化关工赋能。扎实推进统一战线工作，落实党员干部与党外代表人士联系交友制度，开展民族团结进步宣传月活动，精准调研少数民族学生思想学业状况及宗教信仰情况，强化思想引导。统筹推进学院关工委优质化建设，积极培育建设“五好”关工委，“赠书寄语”教育规劝活动获校2025年特色品牌项目。</w:t>
      </w:r>
    </w:p>
    <w:p w14:paraId="69FDF734">
      <w:pPr>
        <w:pStyle w:val="2"/>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配合校巡察组做好巡察工作。建立巡察工作专项协调机制，系统梳理党的建设、教育教学、管理服务等重点领域工作台账；针对巡察反馈问题实行“清单式管理、项目化推进、销号制落实”，建立整改成效评估体系；将巡察整改成果转化为制度优势，修订完善规章制度，构建长效治理机制。</w:t>
      </w:r>
    </w:p>
    <w:p w14:paraId="3C2E41DE">
      <w:pPr>
        <w:keepNext w:val="0"/>
        <w:keepLines w:val="0"/>
        <w:pageBreakBefore w:val="0"/>
        <w:kinsoku/>
        <w:wordWrap/>
        <w:overflowPunct/>
        <w:topLinePunct w:val="0"/>
        <w:autoSpaceDE/>
        <w:autoSpaceDN/>
        <w:bidi w:val="0"/>
        <w:adjustRightInd/>
        <w:snapToGrid w:val="0"/>
        <w:spacing w:line="560" w:lineRule="exact"/>
        <w:ind w:leftChars="0" w:firstLine="643" w:firstLineChars="200"/>
        <w:jc w:val="both"/>
        <w:textAlignment w:val="auto"/>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二、人才工作</w:t>
      </w:r>
    </w:p>
    <w:p w14:paraId="0868D31A">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rPr>
        <w:t>.精准引育聚英才，建强队伍固根基。学院坚持“引育并举、双向发力”，聚焦师资队伍结构优化和能力提升，制定靶向引才计划，拓宽引才渠道，全年联系博士等高层次人才</w:t>
      </w:r>
      <w:r>
        <w:rPr>
          <w:rFonts w:hint="eastAsia" w:ascii="仿宋_GB2312" w:hAnsi="仿宋_GB2312" w:eastAsia="仿宋_GB2312" w:cs="仿宋_GB2312"/>
          <w:b w:val="0"/>
          <w:bCs w:val="0"/>
          <w:color w:val="auto"/>
          <w:sz w:val="32"/>
          <w:szCs w:val="32"/>
          <w:highlight w:val="none"/>
          <w:lang w:val="en-US" w:eastAsia="zh-CN"/>
        </w:rPr>
        <w:t>58</w:t>
      </w:r>
      <w:r>
        <w:rPr>
          <w:rFonts w:hint="eastAsia" w:ascii="仿宋_GB2312" w:hAnsi="仿宋_GB2312" w:eastAsia="仿宋_GB2312" w:cs="仿宋_GB2312"/>
          <w:b w:val="0"/>
          <w:bCs w:val="0"/>
          <w:color w:val="auto"/>
          <w:sz w:val="32"/>
          <w:szCs w:val="32"/>
          <w:highlight w:val="none"/>
        </w:rPr>
        <w:t>名，组织参加招聘会</w:t>
      </w: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次，对接国内外高校188所，精准面试考察博士8人，成功签约博士3名</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健全人才培育体系，支持教师参加高层次培训、学术交流和科研攻关，加速青年教师成长。1名教师获评2025年江苏省青年科技人才托举工程资助对象，1名教师获评2025年江苏高校“青蓝工程”培养对象。</w:t>
      </w:r>
    </w:p>
    <w:p w14:paraId="3411849A">
      <w:pPr>
        <w:keepNext w:val="0"/>
        <w:keepLines w:val="0"/>
        <w:pageBreakBefore w:val="0"/>
        <w:kinsoku/>
        <w:wordWrap/>
        <w:overflowPunct/>
        <w:topLinePunct w:val="0"/>
        <w:autoSpaceDE/>
        <w:autoSpaceDN/>
        <w:bidi w:val="0"/>
        <w:adjustRightInd/>
        <w:snapToGrid w:val="0"/>
        <w:spacing w:line="560" w:lineRule="exact"/>
        <w:ind w:leftChars="0" w:firstLine="643"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三、教学工作</w:t>
      </w:r>
    </w:p>
    <w:p w14:paraId="141D7226">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9</w:t>
      </w:r>
      <w:r>
        <w:rPr>
          <w:rFonts w:hint="eastAsia" w:ascii="仿宋_GB2312" w:hAnsi="仿宋_GB2312" w:eastAsia="仿宋_GB2312" w:cs="仿宋_GB2312"/>
          <w:b w:val="0"/>
          <w:bCs w:val="0"/>
          <w:color w:val="auto"/>
          <w:sz w:val="32"/>
          <w:szCs w:val="32"/>
          <w:highlight w:val="none"/>
        </w:rPr>
        <w:t>.强化教学规范管理，保障教学运行质效</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学院紧密围绕学校教学质量提升要求，持续加强课堂教学、课程考核、毕业论文（设计）指导等关键环节的规范建设。通过全院教职工大会、课程组研讨会、专题培训会等多种形式，组织教师深入学习教学管理规章制度，明确工作标准与要求。及时通报校院两级教学检查中发现的问题，强化全体教师的规范意识。以本科教育教学审核评估为契机，深入开展“以评促建、以评促改、以评促管、以评促强”工作，对照评估指标体系查漏补缺，夯实教学管理基础。学院荣获2024年度“本科教育教学管理工作先进集体”称号。</w:t>
      </w:r>
    </w:p>
    <w:p w14:paraId="681EA15E">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10</w:t>
      </w:r>
      <w:r>
        <w:rPr>
          <w:rFonts w:hint="eastAsia" w:ascii="仿宋_GB2312" w:hAnsi="仿宋_GB2312" w:eastAsia="仿宋_GB2312" w:cs="仿宋_GB2312"/>
          <w:b w:val="0"/>
          <w:bCs w:val="0"/>
          <w:color w:val="auto"/>
          <w:sz w:val="32"/>
          <w:szCs w:val="32"/>
          <w:highlight w:val="none"/>
        </w:rPr>
        <w:t>.深化教学督导检查，助力教学质量提升</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严格执行学校教学督导工作制度，每学期初召开学院教学督导工作会议，总结反思，部署任务。2025年，院级督导累计听课326节次，超额完成学校规定任务。针对新进青年教师较多的现状，学院在期中阶段专门设立为期4周的“集中听课周”，组织青年教师进行教学观摩。服务年轻教师成长，除安排“一对一”帮扶教师之外，学院还安排学院党政领导和督导组专家，专人听课指导，助力青年教师教学能力提升。</w:t>
      </w:r>
    </w:p>
    <w:p w14:paraId="65D7C1BD">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11</w:t>
      </w:r>
      <w:r>
        <w:rPr>
          <w:rFonts w:hint="eastAsia" w:ascii="仿宋_GB2312" w:hAnsi="仿宋_GB2312" w:eastAsia="仿宋_GB2312" w:cs="仿宋_GB2312"/>
          <w:b w:val="0"/>
          <w:bCs w:val="0"/>
          <w:color w:val="auto"/>
          <w:sz w:val="32"/>
          <w:szCs w:val="32"/>
          <w:highlight w:val="none"/>
        </w:rPr>
        <w:t>.扎实推进评建工作，优化人才培养体系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根据学校统一部署，全面投入教育部本科教育教学审核评估迎评工作。系统梳理近三年的课程档案、考核材料、毕业论文、实践教学材料等，及时整改存在问题。精心撰写和完善学院自评报告、支撑材料，凝练办学特色与亮点，撰写学院发展巡礼，并通过新媒体平台进行宣传展示，极大提升了学院的办学影响力。组织开展微课堂教学比赛等活动，助力青年教师成长，提升学院的整体教学水平。学院获评校本科教育教学审核评估先进集体。</w:t>
      </w:r>
    </w:p>
    <w:p w14:paraId="615BDA61">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12</w:t>
      </w:r>
      <w:r>
        <w:rPr>
          <w:rFonts w:hint="eastAsia" w:ascii="仿宋_GB2312" w:hAnsi="仿宋_GB2312" w:eastAsia="仿宋_GB2312" w:cs="仿宋_GB2312"/>
          <w:b w:val="0"/>
          <w:bCs w:val="0"/>
          <w:color w:val="auto"/>
          <w:sz w:val="32"/>
          <w:szCs w:val="32"/>
          <w:highlight w:val="none"/>
        </w:rPr>
        <w:t>.聚焦内涵特色发展，强化专业建设布局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对照验收要求，梳理建设思路，总结建设成果，提交验收报告，顺利完成统计学省级品牌专业建设项目验收，为新一轮申报奠定基础。积极响应学校人才培养方案修订要求，组织专业负责人赴苏州科技大学、苏州工学院、盐城农商银行和江苏华控能源科技有限公司等高校及企事业单位调研，广泛吸纳意见，科学修订2025级人才培养方案，优化课程体系与培养模式。申报获批设立3个微专业，其中“数学模型与智能计算”“数字金融”两个微专业获教育部备案，有效提升了学生就业竞争力。获评2025年校级优秀教学成果奖高等教育类二等奖、基础教育类一等奖各1项。积极申报“智能科学与技术”新专业，稳步推进与美国桥水州立大学的合作办学项目，联合培养数学专业人才。</w:t>
      </w:r>
    </w:p>
    <w:p w14:paraId="46F0C1D0">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13</w:t>
      </w:r>
      <w:r>
        <w:rPr>
          <w:rFonts w:hint="eastAsia" w:ascii="仿宋_GB2312" w:hAnsi="仿宋_GB2312" w:eastAsia="仿宋_GB2312" w:cs="仿宋_GB2312"/>
          <w:b w:val="0"/>
          <w:bCs w:val="0"/>
          <w:color w:val="auto"/>
          <w:sz w:val="32"/>
          <w:szCs w:val="32"/>
          <w:highlight w:val="none"/>
        </w:rPr>
        <w:t>.加强教学资源建设，夯实育人基础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持续推进《解析几何》《线性代数》等核心课程建设，积极培育省级一流课程。聚焦国家人工智能发展战略，组织教师围绕“人工智能+”积极申报相关课程与教材建设项目。获批2025年度江苏省“高质量数理类课程教材改革研究”专项课题1项；申报校级“人工智能+高等教育”应用场景案例、数字教材、人工智能一流课程等项目共6项；积极推进《解析几何》《数学解题研究：数学方法论的视角》等教材的省级规划教材申报准备工作。全年开设双语课程9门，课程资源日益丰富。</w:t>
      </w:r>
    </w:p>
    <w:p w14:paraId="5E49CE57">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14</w:t>
      </w:r>
      <w:r>
        <w:rPr>
          <w:rFonts w:hint="eastAsia" w:ascii="仿宋_GB2312" w:hAnsi="仿宋_GB2312" w:eastAsia="仿宋_GB2312" w:cs="仿宋_GB2312"/>
          <w:b w:val="0"/>
          <w:bCs w:val="0"/>
          <w:color w:val="auto"/>
          <w:sz w:val="32"/>
          <w:szCs w:val="32"/>
          <w:highlight w:val="none"/>
        </w:rPr>
        <w:t>.深化教育教学改革，提升教改创新水平</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牢固树立为党育人、为国育才的初心使命，聚焦新形势下人才培养的重点难点，不断加大推进教学改革创新的工作力度，鼓励教师投身教学改革和研究，积极申报各级各类教改课题，发表高水平教研教改论文。2025年，学院获批省级教改课题1项，校级教学研究改革课题16项，其中本科高等教育项目10项，课程思政项目4项，劳动教育项目2项；获批大学生创新创业训练计划项目5项，其中国家级1项、省级4项；教师发表教学研究论文20余篇，其中CSSCI、北大核心期刊论文各1篇。</w:t>
      </w:r>
    </w:p>
    <w:p w14:paraId="583EDD17">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15</w:t>
      </w:r>
      <w:r>
        <w:rPr>
          <w:rFonts w:hint="eastAsia" w:ascii="仿宋_GB2312" w:hAnsi="仿宋_GB2312" w:eastAsia="仿宋_GB2312" w:cs="仿宋_GB2312"/>
          <w:b w:val="0"/>
          <w:bCs w:val="0"/>
          <w:color w:val="auto"/>
          <w:sz w:val="32"/>
          <w:szCs w:val="32"/>
          <w:highlight w:val="none"/>
        </w:rPr>
        <w:t>.聚焦教师教学竞赛，促进青年教师成长</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针对青年教师队伍不断扩大的情况，实施“以赛促教、以赛促改”策略，积极帮助青年教师快速成长。春季学期即启动院级教学竞赛组织工作，通过组建核心课程团队、集体备课、举办微课比赛、组织参加各级教学竞赛、邀请专家指导打磨等方式，助力青年教师教学能力提升。获省级微课比赛三等奖1项、校级二等奖1项；获省数学基础课教师授课比赛三等奖2项</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教师创新赛道二等奖1项；组织8个团队参加校级教学创新大赛遴选。</w:t>
      </w:r>
    </w:p>
    <w:p w14:paraId="5AF930EB">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16</w:t>
      </w:r>
      <w:r>
        <w:rPr>
          <w:rFonts w:hint="eastAsia" w:ascii="仿宋_GB2312" w:hAnsi="仿宋_GB2312" w:eastAsia="仿宋_GB2312" w:cs="仿宋_GB2312"/>
          <w:b w:val="0"/>
          <w:bCs w:val="0"/>
          <w:color w:val="auto"/>
          <w:sz w:val="32"/>
          <w:szCs w:val="32"/>
          <w:highlight w:val="none"/>
        </w:rPr>
        <w:t>.强化学科竞赛引领，培养学生创新能力</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坚持以赛促学，将学科竞赛作为培养学生创新与实践能力的重要抓手，不断增强毕业生的社会适应力和个人发展的核心竞争力。2025年，学生获省级及以上学科竞赛奖项92项，其中国家A类学科竞赛奖项46项。尤为突出的是</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在江苏省师范生教学基本功大赛中获一等奖2项，实现该赛事“九连冠”；首次获得全国大学生能源经济学术创意大赛国家一等奖，实现历史性突破；获全国大学生统计建模大赛国家二等奖1项。</w:t>
      </w:r>
    </w:p>
    <w:p w14:paraId="53F5F216">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17</w:t>
      </w:r>
      <w:r>
        <w:rPr>
          <w:rFonts w:hint="eastAsia" w:ascii="仿宋_GB2312" w:hAnsi="仿宋_GB2312" w:eastAsia="仿宋_GB2312" w:cs="仿宋_GB2312"/>
          <w:b w:val="0"/>
          <w:bCs w:val="0"/>
          <w:color w:val="auto"/>
          <w:sz w:val="32"/>
          <w:szCs w:val="32"/>
          <w:highlight w:val="none"/>
        </w:rPr>
        <w:t>.深化产教融合协同，拓展实践育人平台</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主动对接社会需求，深化与地方政府及企事业单位合作，推进产教融合，搭建协同育人平台，协同推进学生实践能力培养。与国家统计局盐城调查队签署共建协议，在人才培养、统计研究等方面开展深度合作；新增盐城农商银行为实习就业基地，协同优化人才培养方案与课程建设，培养更符合社会发展需求的高素质专门人才。顺利完成252名学生的教育实习和119名学生的专业实习，选派28人次专任教师进行全程指导。学院加强实习过程管理与检查，确保实践教学质量。</w:t>
      </w:r>
    </w:p>
    <w:p w14:paraId="3E5E4C92">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rPr>
        <w:t>.严格毕业论文管理，保障教育部抽查质量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学院高度重视毕业论文（设计）质量，成立专项工作组，严格落实学校相关管理规定，加强全过程监控与指导。顺利完成2025届410名学生的毕业论文（设计）撰写与答辩工作，并提前布局优秀论文培育与教育部抽检准备工作。目前已启动2026届毕业论文（设计）工作，完成了导师分配与选题初审，确保工作有序衔接。</w:t>
      </w:r>
    </w:p>
    <w:p w14:paraId="004A46AA">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1</w:t>
      </w:r>
      <w:r>
        <w:rPr>
          <w:rFonts w:hint="eastAsia" w:ascii="仿宋_GB2312" w:hAnsi="仿宋_GB2312" w:eastAsia="仿宋_GB2312" w:cs="仿宋_GB2312"/>
          <w:b w:val="0"/>
          <w:bCs w:val="0"/>
          <w:color w:val="auto"/>
          <w:sz w:val="32"/>
          <w:szCs w:val="32"/>
          <w:highlight w:val="none"/>
          <w:lang w:val="en-US" w:eastAsia="zh-CN"/>
        </w:rPr>
        <w:t>9</w:t>
      </w:r>
      <w:r>
        <w:rPr>
          <w:rFonts w:hint="eastAsia" w:ascii="仿宋_GB2312" w:hAnsi="仿宋_GB2312" w:eastAsia="仿宋_GB2312" w:cs="仿宋_GB2312"/>
          <w:b w:val="0"/>
          <w:bCs w:val="0"/>
          <w:color w:val="auto"/>
          <w:sz w:val="32"/>
          <w:szCs w:val="32"/>
          <w:highlight w:val="none"/>
        </w:rPr>
        <w:t>.健全帮扶机制，提升新教师履职能力</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关注青年教师成长，加大帮扶青年教师增强履职能力工作力度。深入推进青年教师帮扶工作，完善“骨干教师+新教师”帮扶机制，加大帮扶过程检查力度，帮助新进青年教师快速适应岗位需求。构建多元化帮扶体系，通过督导听课、集体备课、教学竞赛和教改项目申报等多种渠道，助力新进教师提升教学能力提升。组织青年教师申报获批校教改项目16项。</w:t>
      </w:r>
    </w:p>
    <w:p w14:paraId="0484A15F">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rPr>
        <w:t>.服务地方基础教育，深化校地融合共建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将支持附属学校数学学科发展列为年度重点工作，指定专人负责，定期研讨。学院领导多次走访调研附属学校，共商师资培训、教学研究等合作事宜。邀请江苏省教学名师张卫明、教研员郭大鹏等专家，联合学院师范专业教师定期开展教学研讨，为附属学校教师发展及学生核心素养培育搭建优质平台。</w:t>
      </w:r>
    </w:p>
    <w:p w14:paraId="723E8A8F">
      <w:pPr>
        <w:keepNext w:val="0"/>
        <w:keepLines w:val="0"/>
        <w:pageBreakBefore w:val="0"/>
        <w:kinsoku/>
        <w:wordWrap/>
        <w:overflowPunct/>
        <w:topLinePunct w:val="0"/>
        <w:autoSpaceDE/>
        <w:autoSpaceDN/>
        <w:bidi w:val="0"/>
        <w:adjustRightInd/>
        <w:snapToGrid w:val="0"/>
        <w:spacing w:line="560" w:lineRule="exact"/>
        <w:ind w:leftChars="0" w:firstLine="643" w:firstLineChars="200"/>
        <w:jc w:val="both"/>
        <w:textAlignment w:val="auto"/>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四、学科、科研与社会服务工作</w:t>
      </w:r>
    </w:p>
    <w:p w14:paraId="365524D3">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21</w:t>
      </w:r>
      <w:r>
        <w:rPr>
          <w:rFonts w:hint="eastAsia" w:ascii="仿宋_GB2312" w:hAnsi="仿宋_GB2312" w:eastAsia="仿宋_GB2312" w:cs="仿宋_GB2312"/>
          <w:b w:val="0"/>
          <w:bCs w:val="0"/>
          <w:color w:val="auto"/>
          <w:sz w:val="32"/>
          <w:szCs w:val="32"/>
          <w:highlight w:val="none"/>
        </w:rPr>
        <w:t>.加强学科建设，推进新增硕士学位授权点申报。学院不断加强学科内涵建设，拓展数学学科应用，促进学科交叉融合。2025年度，学院招收“学科教育(数学)”专业硕士8人，认真制定培养方案，落实校内导师和校外实践导师负责制，确定每周研讨制定，确保培养质量。积极准备2026年新增“应用统计专硕”和“智能科学与技术学硕”硕士学位授权申报工作，与学校签订责任状，落实任务分解和责任，明确骨干教师和专任教师须承担的任务；确保申硕工作有力推进。提交“第七届全国教育专业学位教学案例”3份，有力地了专业学位研究生教育的发展。</w:t>
      </w:r>
    </w:p>
    <w:p w14:paraId="6E551170">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22</w:t>
      </w:r>
      <w:r>
        <w:rPr>
          <w:rFonts w:hint="eastAsia" w:ascii="仿宋_GB2312" w:hAnsi="仿宋_GB2312" w:eastAsia="仿宋_GB2312" w:cs="仿宋_GB2312"/>
          <w:b w:val="0"/>
          <w:bCs w:val="0"/>
          <w:color w:val="auto"/>
          <w:sz w:val="32"/>
          <w:szCs w:val="32"/>
          <w:highlight w:val="none"/>
        </w:rPr>
        <w:t>.组织科研项目申报，提高科学研究水平。学院积极组织学院教师申报各类各级科研项目，扎实推动学院教师特别是青年教师开展科研活动，不断提高学院教师科学研究水平。根据不同具体情况，邀请校内外专家有针对性地开展项目申报书打磨工作，积极落实学校“青年教师提升计划”，做到一人一策，收到了良好效果。2025年我院分别获批国家自然科学基金面上、青年项目各1项、江苏省自然科学基金项目1项</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青年</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、省高校自然科学基金1项</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面上</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，盐城市各类科研项目3项，江苏高校哲学社会科学研究项目立项1项。</w:t>
      </w:r>
      <w:r>
        <w:rPr>
          <w:rFonts w:hint="eastAsia" w:ascii="仿宋_GB2312" w:hAnsi="仿宋_GB2312" w:eastAsia="仿宋_GB2312" w:cs="仿宋_GB2312"/>
          <w:b w:val="0"/>
          <w:bCs w:val="0"/>
          <w:color w:val="auto"/>
          <w:sz w:val="32"/>
          <w:szCs w:val="32"/>
          <w:highlight w:val="none"/>
          <w:lang w:eastAsia="zh-CN"/>
        </w:rPr>
        <w:t>获</w:t>
      </w:r>
      <w:r>
        <w:rPr>
          <w:rFonts w:hint="eastAsia" w:ascii="仿宋_GB2312" w:hAnsi="仿宋_GB2312" w:eastAsia="仿宋_GB2312" w:cs="仿宋_GB2312"/>
          <w:b w:val="0"/>
          <w:bCs w:val="0"/>
          <w:color w:val="auto"/>
          <w:sz w:val="32"/>
          <w:szCs w:val="32"/>
          <w:highlight w:val="none"/>
        </w:rPr>
        <w:t>省</w:t>
      </w:r>
      <w:r>
        <w:rPr>
          <w:rFonts w:hint="eastAsia" w:ascii="仿宋_GB2312" w:hAnsi="仿宋_GB2312" w:eastAsia="仿宋_GB2312" w:cs="仿宋_GB2312"/>
          <w:b w:val="0"/>
          <w:bCs w:val="0"/>
          <w:color w:val="auto"/>
          <w:sz w:val="32"/>
          <w:szCs w:val="32"/>
          <w:highlight w:val="none"/>
          <w:lang w:eastAsia="zh-CN"/>
        </w:rPr>
        <w:t>级</w:t>
      </w:r>
      <w:r>
        <w:rPr>
          <w:rFonts w:hint="eastAsia" w:ascii="仿宋_GB2312" w:hAnsi="仿宋_GB2312" w:eastAsia="仿宋_GB2312" w:cs="仿宋_GB2312"/>
          <w:b w:val="0"/>
          <w:bCs w:val="0"/>
          <w:color w:val="auto"/>
          <w:sz w:val="32"/>
          <w:szCs w:val="32"/>
          <w:highlight w:val="none"/>
        </w:rPr>
        <w:t>人才项目</w:t>
      </w:r>
      <w:r>
        <w:rPr>
          <w:rFonts w:hint="eastAsia" w:ascii="仿宋_GB2312" w:hAnsi="仿宋_GB2312" w:eastAsia="仿宋_GB2312" w:cs="仿宋_GB2312"/>
          <w:b w:val="0"/>
          <w:bCs w:val="0"/>
          <w:color w:val="auto"/>
          <w:sz w:val="32"/>
          <w:szCs w:val="32"/>
          <w:highlight w:val="none"/>
          <w:lang w:val="en-US" w:eastAsia="zh-CN"/>
        </w:rPr>
        <w:t>2项</w:t>
      </w:r>
      <w:r>
        <w:rPr>
          <w:rFonts w:hint="eastAsia" w:ascii="仿宋_GB2312" w:hAnsi="仿宋_GB2312" w:eastAsia="仿宋_GB2312" w:cs="仿宋_GB2312"/>
          <w:b w:val="0"/>
          <w:bCs w:val="0"/>
          <w:color w:val="auto"/>
          <w:sz w:val="32"/>
          <w:szCs w:val="32"/>
          <w:highlight w:val="none"/>
        </w:rPr>
        <w:t>。截止到11月份，已发表高水平论文20篇，其中SCI期刊论文18篇、中文核心期刊1篇、T3期刊1篇，达到高质量学术论文数量年度目标；获批盐城市决策咨询课题1项。</w:t>
      </w:r>
    </w:p>
    <w:p w14:paraId="1D02E780">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23</w:t>
      </w:r>
      <w:r>
        <w:rPr>
          <w:rFonts w:hint="eastAsia" w:ascii="仿宋_GB2312" w:hAnsi="仿宋_GB2312" w:eastAsia="仿宋_GB2312" w:cs="仿宋_GB2312"/>
          <w:b w:val="0"/>
          <w:bCs w:val="0"/>
          <w:color w:val="auto"/>
          <w:sz w:val="32"/>
          <w:szCs w:val="32"/>
          <w:highlight w:val="none"/>
        </w:rPr>
        <w:t>.构建科研创新体系，增强科研影响力。紧密联系地</w:t>
      </w:r>
    </w:p>
    <w:p w14:paraId="17248387">
      <w:pPr>
        <w:keepNext w:val="0"/>
        <w:keepLines w:val="0"/>
        <w:pageBreakBefore w:val="0"/>
        <w:widowControl/>
        <w:kinsoku/>
        <w:wordWrap/>
        <w:overflowPunct/>
        <w:topLinePunct w:val="0"/>
        <w:autoSpaceDE/>
        <w:autoSpaceDN/>
        <w:bidi w:val="0"/>
        <w:adjustRightInd/>
        <w:spacing w:line="560" w:lineRule="exact"/>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方经济社会发展实际，进一步凝练数学学科的发展方向，重点打造“组合数学与图论、控制理论及应用、微分方程与动力系统、模糊数学与统计”4个科研团队，支持团队开展学术创新活动，努力构建以学科、平台、团队、成果、项目、文化“六位一体”的科研创新体系。不断加强“江苏省工程研究中心”建设，依托该省级平台不断促进科研成果产出数量和质量的提升，推动科研成果的转化，扩大平台影响。2025年，江苏省统计学习与智能识别工程研究中心承办了2个省级学会的年会，分别与国家统计局盐城调查队、盐城市无人机科技教育学会签订合作协议。不断加强“江苏省政府统计与大数据研究院大数据研究中心盐城分中心”、“江苏省统计科学研究院”、盐城市工程研究中心的建设工作。</w:t>
      </w:r>
    </w:p>
    <w:p w14:paraId="2483F4A1">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24</w:t>
      </w:r>
      <w:r>
        <w:rPr>
          <w:rFonts w:hint="eastAsia" w:ascii="仿宋_GB2312" w:hAnsi="仿宋_GB2312" w:eastAsia="仿宋_GB2312" w:cs="仿宋_GB2312"/>
          <w:b w:val="0"/>
          <w:bCs w:val="0"/>
          <w:color w:val="auto"/>
          <w:sz w:val="32"/>
          <w:szCs w:val="32"/>
          <w:highlight w:val="none"/>
        </w:rPr>
        <w:t>.加强学术交流，浓厚学术氛围。学院积极组织开展学术活动，支持广大教师参加国内外学术会议和讲座，定期开展学术研讨和报告活动，形成学术活动制度化、常态化，在学院内培养浓厚的学术氛围。2025年，我院分别承办了“江苏省自动化学会年会”和“江苏省概率统计学会年会”，会议取得了圆满成功，扩大了我校的影响力。学院先后邀请了加拿大滑铁卢大学、中国科学院大学、南京大学、同济大学、东北财经大学、陕西师范大学、南京师范大学、南京审计大学、江苏大学、江苏师范大学、南京航空航天大学、桂林电子科技大学、信阳师范大学等多所国内外著名高校以及校内多名专家教授来学院作学术报告、讲座和研究指导，极大地开阔了学院师生科研的视野。</w:t>
      </w:r>
    </w:p>
    <w:p w14:paraId="005E9C33">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w:t>
      </w: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rPr>
        <w:t>.严格研究生管理，提高研究生培养质量。不断加强在校研究生的教学、管理和科研工作，认真做好研究生安全、后勤保障工作，安排研究生定期开展学术汇报，努力提高研究生的培养质量。2025年度，顺利完成2022级南京师范大学联合培养全日制教育硕士研究生的培养工作，4名联合培养的研究生按时毕业。学院在盐城市区各中学开展选聘教育硕士研究生校外实践指导老师工作，借助于中学正高级或特级教师的教学水平着力提升研究生教学实践研究能力。</w:t>
      </w:r>
    </w:p>
    <w:p w14:paraId="6DB7547E">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w:t>
      </w:r>
      <w:r>
        <w:rPr>
          <w:rFonts w:hint="eastAsia" w:ascii="仿宋_GB2312" w:hAnsi="仿宋_GB2312" w:eastAsia="仿宋_GB2312" w:cs="仿宋_GB2312"/>
          <w:b w:val="0"/>
          <w:bCs w:val="0"/>
          <w:color w:val="auto"/>
          <w:sz w:val="32"/>
          <w:szCs w:val="32"/>
          <w:highlight w:val="none"/>
          <w:lang w:val="en-US" w:eastAsia="zh-CN"/>
        </w:rPr>
        <w:t>6</w:t>
      </w:r>
      <w:r>
        <w:rPr>
          <w:rFonts w:hint="eastAsia" w:ascii="仿宋_GB2312" w:hAnsi="仿宋_GB2312" w:eastAsia="仿宋_GB2312" w:cs="仿宋_GB2312"/>
          <w:b w:val="0"/>
          <w:bCs w:val="0"/>
          <w:color w:val="auto"/>
          <w:sz w:val="32"/>
          <w:szCs w:val="32"/>
          <w:highlight w:val="none"/>
        </w:rPr>
        <w:t>.发挥学科、专业优势和科研平台作用，助力地区经济社会发展。学院不断发挥江苏省工程研究中心、中小学数学教师培训基地、江苏省统计科学研究基地等平台的作用，积极联系盐城市教育局、教科院、社科联、住建局以及国家统计局盐城市统计调查大队等单位，开展智库建设工作，主动为地方基础教育和经济社会发展做贡献。2024年，学院承办新疆、江苏等省份中小学教师“国培”项目多项；在《中国网（数智中国）》、《盐城调查》、《阜宁新闻》等官方媒体上发表与地方经济社会发展有关的报道。全年在中小学开展科普活动3场。</w:t>
      </w:r>
    </w:p>
    <w:p w14:paraId="70AE92EA">
      <w:pPr>
        <w:keepNext w:val="0"/>
        <w:keepLines w:val="0"/>
        <w:pageBreakBefore w:val="0"/>
        <w:kinsoku/>
        <w:wordWrap/>
        <w:overflowPunct/>
        <w:topLinePunct w:val="0"/>
        <w:autoSpaceDE/>
        <w:autoSpaceDN/>
        <w:bidi w:val="0"/>
        <w:adjustRightInd/>
        <w:snapToGrid w:val="0"/>
        <w:spacing w:line="560" w:lineRule="exact"/>
        <w:ind w:leftChars="0" w:firstLine="643" w:firstLineChars="200"/>
        <w:jc w:val="both"/>
        <w:textAlignment w:val="auto"/>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五、学生工作</w:t>
      </w:r>
    </w:p>
    <w:p w14:paraId="3DBCB966">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27.</w:t>
      </w:r>
      <w:r>
        <w:rPr>
          <w:rFonts w:hint="eastAsia" w:ascii="仿宋_GB2312" w:hAnsi="仿宋_GB2312" w:eastAsia="仿宋_GB2312" w:cs="仿宋_GB2312"/>
          <w:b w:val="0"/>
          <w:bCs w:val="0"/>
          <w:color w:val="auto"/>
          <w:sz w:val="32"/>
          <w:szCs w:val="32"/>
          <w:highlight w:val="none"/>
        </w:rPr>
        <w:t>筑牢思想根基，提升党团引领质效</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学院严格对标党团员发展标准，构建“理论学习+实践锤炼+考核评价+跟踪培养”全链条闭环培养体系。系统组织党团积极分子专题培训，常态化开展党的创新理论宣讲、团务实务培训等专题讲座，结合主题教育纵深推进“红色研学”“社区共建服务”等实践活动，推动理论学习入脑入心、实践锤炼走深走实</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党团组织凝聚力、战斗力显著提升。</w:t>
      </w:r>
    </w:p>
    <w:p w14:paraId="0C5FA5F3">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28.</w:t>
      </w:r>
      <w:r>
        <w:rPr>
          <w:rFonts w:hint="eastAsia" w:ascii="仿宋_GB2312" w:hAnsi="仿宋_GB2312" w:eastAsia="仿宋_GB2312" w:cs="仿宋_GB2312"/>
          <w:b w:val="0"/>
          <w:bCs w:val="0"/>
          <w:color w:val="auto"/>
          <w:sz w:val="32"/>
          <w:szCs w:val="32"/>
          <w:highlight w:val="none"/>
        </w:rPr>
        <w:t>锻造育人骨干，夯实队伍专业素养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精准构建“辅导员-班主任-生涯导师-学生干部”四位一体育人体系，建立“日常培训+专题研讨+调研实践”常态化能力提升机制。全年召开班主任工作专题会议10场，通过每周学生干部例会常态化明晰职责，充分发挥学生骨干模范带头作用。育人队伍建设成效显著：辅导员团队获批市级思政课题3项；5名教师荣获校级就业、考研工作先进个人称号；2名辅导员分获“三下乡”社会实践及审核评估先进个人；1个团支部获评校级“五四红旗团支部”。学生中4人获国家奖学金，6人获黄海明珠奖学金，1人获“立德树人”奖学金，彰显育人实效。</w:t>
      </w:r>
    </w:p>
    <w:p w14:paraId="45A600EE">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29.</w:t>
      </w:r>
      <w:r>
        <w:rPr>
          <w:rFonts w:hint="eastAsia" w:ascii="仿宋_GB2312" w:hAnsi="仿宋_GB2312" w:eastAsia="仿宋_GB2312" w:cs="仿宋_GB2312"/>
          <w:b w:val="0"/>
          <w:bCs w:val="0"/>
          <w:color w:val="auto"/>
          <w:sz w:val="32"/>
          <w:szCs w:val="32"/>
          <w:highlight w:val="none"/>
        </w:rPr>
        <w:t>深化服务内涵，构建精准育人格局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以学风建设为核心抓手，深化精准服务内涵，打造系列特色育人活动：全年举办考研、考编、就业创业等指导讲座20余场，惠及学子2000余人次；选树优秀毕业生典型20人，通过多媒体平台广泛宣传，营造见贤思齐、笃学奋进的浓厚氛围。心理健康教育工作扎实细致，建立“一生一策”动态关怀档案，健全“周跟进、月研判”预警支持体系。凭借扎实的工作成效，学院在学校学风建设月活动中表现优异，成功荣获2025年学风建设月活动先进集体一等奖，并斩获第五届资助文化节优秀组织奖。</w:t>
      </w:r>
    </w:p>
    <w:p w14:paraId="5660AD22">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30.</w:t>
      </w:r>
      <w:r>
        <w:rPr>
          <w:rFonts w:hint="eastAsia" w:ascii="仿宋_GB2312" w:hAnsi="仿宋_GB2312" w:eastAsia="仿宋_GB2312" w:cs="仿宋_GB2312"/>
          <w:b w:val="0"/>
          <w:bCs w:val="0"/>
          <w:color w:val="auto"/>
          <w:sz w:val="32"/>
          <w:szCs w:val="32"/>
          <w:highlight w:val="none"/>
        </w:rPr>
        <w:t>拓展实践载体，赋能学生全面成长</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立足专业特色，构建“志愿服务+学科实践”双驱动实践育人平台。开展第40次“赠书寄语”活动，传递育人温情；新增阜宁桃花源暑期社会实践基地，以直播助农助力乡村振兴；常态化开展“科普进社区”活动，彰显数统学子社会担当；联合金融机构开展宣讲，提升学生金融素养；举办“走进盐中”等专业实践活动，强化学生专业应用能力；组织师生参与国际文化艺术节并获评“先进集体”，学生团队获2025年度中国青年科技创新“揭榜挂帅”擂台赛“人工智能领域”主擂台赛优胜奖，成功立项大学生理论宣讲社会实践项目1项，全面提升学生综合素质、创新能力与社会责任感。</w:t>
      </w:r>
    </w:p>
    <w:p w14:paraId="6C16A8D7">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31.</w:t>
      </w:r>
      <w:r>
        <w:rPr>
          <w:rFonts w:hint="eastAsia" w:ascii="仿宋_GB2312" w:hAnsi="仿宋_GB2312" w:eastAsia="仿宋_GB2312" w:cs="仿宋_GB2312"/>
          <w:b w:val="0"/>
          <w:bCs w:val="0"/>
          <w:color w:val="auto"/>
          <w:sz w:val="32"/>
          <w:szCs w:val="32"/>
          <w:highlight w:val="none"/>
        </w:rPr>
        <w:t>聚焦就业核心，助推学生高质量就业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聚焦学生高质量就业核心目标，全面推行就业工作“一把手”工程，成立学院就业工作领导小组，全年召开就业工作专题研判会10次，精准研判就业形势、破解就业难题。深入开展“访企拓岗促就业”专项行动，走访企事业单位10家，成功签订2个实习就业基地协议，持续拓宽就业渠道与育人资源。截至11月，2025届毕业生考研上岸53人，考公录用3人，投身基层服务5人，成功考取教师编制近100人，银行系统录用11人，整体就业率突破94%，实现毕业生就业数量与质量双提升。</w:t>
      </w:r>
    </w:p>
    <w:p w14:paraId="7FB02334">
      <w:pPr>
        <w:keepNext w:val="0"/>
        <w:keepLines w:val="0"/>
        <w:pageBreakBefore w:val="0"/>
        <w:kinsoku/>
        <w:wordWrap/>
        <w:overflowPunct/>
        <w:topLinePunct w:val="0"/>
        <w:autoSpaceDE/>
        <w:autoSpaceDN/>
        <w:bidi w:val="0"/>
        <w:adjustRightInd/>
        <w:snapToGrid w:val="0"/>
        <w:spacing w:line="560" w:lineRule="exact"/>
        <w:ind w:leftChars="0" w:firstLine="643" w:firstLineChars="200"/>
        <w:jc w:val="both"/>
        <w:textAlignment w:val="auto"/>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六、综合管理工作</w:t>
      </w:r>
    </w:p>
    <w:p w14:paraId="3173FEB4">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32.杏坛名师归来讲，创业贤才返校招。邀请1988届杰出校友湖州师范学院博士生导师刘东教授、1996届优秀校友景山中学陈艳书记、东台市实验中学城东分校教务处主任夏建文做客“母校有约”校友讲坛；特邀优秀校友、盐城市盐南高新区茧单轻松教育服务有限公司创始人吴海卫回校举办专场招聘。</w:t>
      </w:r>
      <w:bookmarkStart w:id="0" w:name="_GoBack"/>
      <w:bookmarkEnd w:id="0"/>
    </w:p>
    <w:p w14:paraId="0BF58159">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33.</w:t>
      </w:r>
      <w:r>
        <w:rPr>
          <w:rFonts w:hint="eastAsia" w:ascii="仿宋_GB2312" w:hAnsi="仿宋_GB2312" w:eastAsia="仿宋_GB2312" w:cs="仿宋_GB2312"/>
          <w:b w:val="0"/>
          <w:bCs w:val="0"/>
          <w:color w:val="auto"/>
          <w:sz w:val="32"/>
          <w:szCs w:val="32"/>
          <w:highlight w:val="none"/>
        </w:rPr>
        <w:t>深耕工会建设，丰富教工生活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聚焦工会职能发挥，以活动为纽带凝聚教工力量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举办“健康体重，一起行动”主题活动</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组织教职工参与运动会，获得团体三等奖。</w:t>
      </w:r>
    </w:p>
    <w:p w14:paraId="4EC8B155">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34.</w:t>
      </w:r>
      <w:r>
        <w:rPr>
          <w:rFonts w:hint="eastAsia" w:ascii="仿宋_GB2312" w:hAnsi="仿宋_GB2312" w:eastAsia="仿宋_GB2312" w:cs="仿宋_GB2312"/>
          <w:b w:val="0"/>
          <w:bCs w:val="0"/>
          <w:color w:val="auto"/>
          <w:sz w:val="32"/>
          <w:szCs w:val="32"/>
          <w:highlight w:val="none"/>
        </w:rPr>
        <w:t>筑牢安全防线，守护校园平安</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认真落实学校安全工作要求，明确责任分工，扎实做好常态化安全检查和重要节点安全检查，筑牢安全防线。学院获评2023-2024年度校园安全综合管理暨平安校园建设工作先进集体。持续开展防范校园电信网络诈骗宣传，强化反诈阵地建设。积极参加第五届实验室安全文化月、安全生产月系列活动，开展校园消防和实验室安全风险专项排查等，组织新生、新进教职工参加2025年实验室安全培训，第四届高校实验室安全专题培训班等。进一步加强师生实验室安全教育，增强安全防范意识，营造维护安全的浓厚氛围，夯实安全稳定基础。</w:t>
      </w:r>
    </w:p>
    <w:p w14:paraId="187C95B3">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35.</w:t>
      </w:r>
      <w:r>
        <w:rPr>
          <w:rFonts w:hint="eastAsia" w:ascii="仿宋_GB2312" w:hAnsi="仿宋_GB2312" w:eastAsia="仿宋_GB2312" w:cs="仿宋_GB2312"/>
          <w:b w:val="0"/>
          <w:bCs w:val="0"/>
          <w:color w:val="auto"/>
          <w:sz w:val="32"/>
          <w:szCs w:val="32"/>
          <w:highlight w:val="none"/>
        </w:rPr>
        <w:t>推进综合改革，明晰年度目标</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深入研习国家及省级教育领域综合改革相关文件精神，精准把握改革方向。紧扣育人核心，加快推进育人方式、办学模式、保障机制等关键领域改革。细化制定2025年度学院工作目标任务，明确推进路径与责任主体，为学院高质量发展注入改革动力。</w:t>
      </w:r>
    </w:p>
    <w:p w14:paraId="1651A36C">
      <w:pPr>
        <w:keepNext w:val="0"/>
        <w:keepLines w:val="0"/>
        <w:pageBreakBefore w:val="0"/>
        <w:widowControl/>
        <w:kinsoku/>
        <w:wordWrap/>
        <w:overflowPunct/>
        <w:topLinePunct w:val="0"/>
        <w:autoSpaceDE/>
        <w:autoSpaceDN/>
        <w:bidi w:val="0"/>
        <w:adjustRightInd/>
        <w:spacing w:line="56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p>
    <w:p w14:paraId="18BB895E">
      <w:pPr>
        <w:keepNext w:val="0"/>
        <w:keepLines w:val="0"/>
        <w:pageBreakBefore w:val="0"/>
        <w:widowControl/>
        <w:kinsoku/>
        <w:wordWrap/>
        <w:overflowPunct/>
        <w:topLinePunct w:val="0"/>
        <w:autoSpaceDE/>
        <w:autoSpaceDN/>
        <w:bidi w:val="0"/>
        <w:adjustRightInd/>
        <w:spacing w:line="52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p>
    <w:p w14:paraId="7F3E4ED9">
      <w:pPr>
        <w:keepNext w:val="0"/>
        <w:keepLines w:val="0"/>
        <w:pageBreakBefore w:val="0"/>
        <w:widowControl/>
        <w:kinsoku/>
        <w:wordWrap/>
        <w:overflowPunct/>
        <w:topLinePunct w:val="0"/>
        <w:autoSpaceDE/>
        <w:autoSpaceDN/>
        <w:bidi w:val="0"/>
        <w:adjustRightInd/>
        <w:spacing w:line="520" w:lineRule="exact"/>
        <w:ind w:leftChars="0" w:firstLine="640" w:firstLineChars="200"/>
        <w:jc w:val="both"/>
        <w:textAlignment w:val="auto"/>
        <w:rPr>
          <w:rFonts w:hint="eastAsia" w:ascii="仿宋_GB2312" w:hAnsi="仿宋_GB2312" w:eastAsia="仿宋_GB2312" w:cs="仿宋_GB2312"/>
          <w:b w:val="0"/>
          <w:bCs w:val="0"/>
          <w:color w:val="auto"/>
          <w:sz w:val="32"/>
          <w:szCs w:val="32"/>
          <w:highlight w:val="none"/>
        </w:rPr>
      </w:pPr>
    </w:p>
    <w:p w14:paraId="2E031F9A">
      <w:pPr>
        <w:keepNext w:val="0"/>
        <w:keepLines w:val="0"/>
        <w:pageBreakBefore w:val="0"/>
        <w:widowControl/>
        <w:kinsoku/>
        <w:wordWrap/>
        <w:overflowPunct/>
        <w:topLinePunct w:val="0"/>
        <w:autoSpaceDE/>
        <w:autoSpaceDN/>
        <w:bidi w:val="0"/>
        <w:adjustRightInd/>
        <w:spacing w:line="520" w:lineRule="exact"/>
        <w:ind w:leftChars="0" w:firstLine="4480" w:firstLineChars="1400"/>
        <w:jc w:val="both"/>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2025年</w:t>
      </w:r>
      <w:r>
        <w:rPr>
          <w:rFonts w:hint="eastAsia" w:ascii="仿宋_GB2312" w:hAnsi="仿宋_GB2312" w:eastAsia="仿宋_GB2312" w:cs="仿宋_GB2312"/>
          <w:b w:val="0"/>
          <w:bCs w:val="0"/>
          <w:color w:val="auto"/>
          <w:sz w:val="32"/>
          <w:szCs w:val="32"/>
          <w:highlight w:val="none"/>
          <w:lang w:val="en-US" w:eastAsia="zh-CN"/>
        </w:rPr>
        <w:t>12</w:t>
      </w:r>
      <w:r>
        <w:rPr>
          <w:rFonts w:hint="eastAsia" w:ascii="仿宋_GB2312" w:hAnsi="仿宋_GB2312" w:eastAsia="仿宋_GB2312" w:cs="仿宋_GB2312"/>
          <w:b w:val="0"/>
          <w:bCs w:val="0"/>
          <w:color w:val="auto"/>
          <w:sz w:val="32"/>
          <w:szCs w:val="32"/>
          <w:highlight w:val="none"/>
        </w:rPr>
        <w:t>月</w:t>
      </w: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4B12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5F6D0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85F6D0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B22316"/>
    <w:rsid w:val="103E46B8"/>
    <w:rsid w:val="10751043"/>
    <w:rsid w:val="10DF5830"/>
    <w:rsid w:val="181D1184"/>
    <w:rsid w:val="197E74BF"/>
    <w:rsid w:val="1B6A0B90"/>
    <w:rsid w:val="1EDC3E97"/>
    <w:rsid w:val="1FC466BB"/>
    <w:rsid w:val="21E67365"/>
    <w:rsid w:val="23642ABE"/>
    <w:rsid w:val="26EA156C"/>
    <w:rsid w:val="2CEC16D9"/>
    <w:rsid w:val="319D6691"/>
    <w:rsid w:val="34853B4C"/>
    <w:rsid w:val="364709AF"/>
    <w:rsid w:val="411B167B"/>
    <w:rsid w:val="569C07BA"/>
    <w:rsid w:val="57B67C8D"/>
    <w:rsid w:val="59E8782F"/>
    <w:rsid w:val="616A5AB9"/>
    <w:rsid w:val="659E7DB9"/>
    <w:rsid w:val="6D6E227C"/>
    <w:rsid w:val="6F4234C6"/>
    <w:rsid w:val="6FB64D2B"/>
    <w:rsid w:val="790D0281"/>
    <w:rsid w:val="792C5912"/>
    <w:rsid w:val="7A5E7D4D"/>
    <w:rsid w:val="7BF23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525"/>
    </w:pPr>
    <w:rPr>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7788</Words>
  <Characters>8020</Characters>
  <Lines>0</Lines>
  <Paragraphs>0</Paragraphs>
  <TotalTime>18</TotalTime>
  <ScaleCrop>false</ScaleCrop>
  <LinksUpToDate>false</LinksUpToDate>
  <CharactersWithSpaces>8021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2025-11-19T00:36:00Z</dcterms:created>
  <dc:creator>Administrator</dc:creator>
  <cp:lastModifiedBy>yoyo</cp:lastModifiedBy>
  <dcterms:modified xsi:type="dcterms:W3CDTF">2026-01-04T09:22:46Z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eyJoZGlkIjoiNGRhMGZhNGYxNjZlY2QyZTdkOWRkZDFiN2NjNTYwMzgiLCJ1c2VySWQiOiI5Mzc1MzA2NDAifQ==</vt:lpwstr>
  </property>
  <property fmtid="{D5CDD505-2E9C-101B-9397-08002B2CF9AE}" pid="4" name="ICV">
    <vt:lpwstr>ABB159484ECB4ACEB42152AAA3B39EC9_12</vt:lpwstr>
  </property>
</Properties>
</file>