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D87B4">
      <w:pPr>
        <w:pStyle w:val="9"/>
        <w:spacing w:line="560" w:lineRule="exact"/>
        <w:ind w:firstLine="0" w:firstLineChars="0"/>
        <w:jc w:val="center"/>
        <w:rPr>
          <w:rFonts w:hint="eastAsia" w:ascii="仿宋" w:hAnsi="仿宋" w:eastAsia="仿宋" w:cs="仿宋"/>
          <w:b/>
          <w:bCs/>
          <w:color w:val="auto"/>
          <w:sz w:val="32"/>
          <w:szCs w:val="44"/>
          <w:highlight w:val="none"/>
        </w:rPr>
      </w:pPr>
      <w:r>
        <w:rPr>
          <w:rFonts w:hint="eastAsia" w:ascii="仿宋" w:hAnsi="仿宋" w:eastAsia="仿宋" w:cs="仿宋"/>
          <w:b/>
          <w:bCs/>
          <w:color w:val="auto"/>
          <w:sz w:val="36"/>
          <w:szCs w:val="48"/>
          <w:highlight w:val="none"/>
        </w:rPr>
        <w:t>商学院202</w:t>
      </w:r>
      <w:r>
        <w:rPr>
          <w:rFonts w:hint="eastAsia" w:ascii="仿宋" w:hAnsi="仿宋" w:eastAsia="仿宋" w:cs="仿宋"/>
          <w:b/>
          <w:bCs/>
          <w:color w:val="auto"/>
          <w:sz w:val="36"/>
          <w:szCs w:val="48"/>
          <w:highlight w:val="none"/>
          <w:lang w:val="en-US" w:eastAsia="zh-CN"/>
        </w:rPr>
        <w:t>5</w:t>
      </w:r>
      <w:r>
        <w:rPr>
          <w:rFonts w:hint="eastAsia" w:ascii="仿宋" w:hAnsi="仿宋" w:eastAsia="仿宋" w:cs="仿宋"/>
          <w:b/>
          <w:bCs/>
          <w:color w:val="auto"/>
          <w:sz w:val="36"/>
          <w:szCs w:val="48"/>
          <w:highlight w:val="none"/>
        </w:rPr>
        <w:t>年工作总结</w:t>
      </w:r>
    </w:p>
    <w:p w14:paraId="55DE1712">
      <w:pPr>
        <w:pStyle w:val="9"/>
        <w:adjustRightInd w:val="0"/>
        <w:snapToGrid w:val="0"/>
        <w:spacing w:line="560" w:lineRule="exact"/>
        <w:ind w:firstLine="0" w:firstLineChars="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商学院</w:t>
      </w:r>
    </w:p>
    <w:p w14:paraId="0DD7BB5C">
      <w:pPr>
        <w:pStyle w:val="9"/>
        <w:spacing w:line="560" w:lineRule="exact"/>
        <w:ind w:firstLine="0" w:firstLineChars="0"/>
        <w:jc w:val="both"/>
        <w:rPr>
          <w:rFonts w:hint="eastAsia" w:ascii="仿宋" w:hAnsi="仿宋" w:eastAsia="仿宋" w:cs="仿宋"/>
          <w:color w:val="auto"/>
          <w:szCs w:val="32"/>
          <w:highlight w:val="none"/>
        </w:rPr>
      </w:pPr>
    </w:p>
    <w:p w14:paraId="099B6E20">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600" w:firstLineChars="200"/>
        <w:jc w:val="both"/>
        <w:textAlignment w:val="auto"/>
        <w:outlineLvl w:val="9"/>
        <w:rPr>
          <w:rFonts w:hint="eastAsia" w:ascii="仿宋" w:hAnsi="仿宋" w:eastAsia="仿宋" w:cs="仿宋"/>
          <w:b w:val="0"/>
          <w:bCs w:val="0"/>
          <w:color w:val="auto"/>
          <w:kern w:val="2"/>
          <w:sz w:val="30"/>
          <w:szCs w:val="30"/>
          <w:highlight w:val="none"/>
          <w:lang w:eastAsia="zh-Hans"/>
        </w:rPr>
      </w:pPr>
      <w:r>
        <w:rPr>
          <w:rFonts w:hint="eastAsia" w:ascii="仿宋" w:hAnsi="仿宋" w:eastAsia="仿宋" w:cs="仿宋"/>
          <w:b w:val="0"/>
          <w:bCs w:val="0"/>
          <w:color w:val="auto"/>
          <w:kern w:val="2"/>
          <w:sz w:val="30"/>
          <w:szCs w:val="30"/>
          <w:highlight w:val="none"/>
        </w:rPr>
        <w:t>202</w:t>
      </w:r>
      <w:r>
        <w:rPr>
          <w:rFonts w:hint="eastAsia" w:ascii="仿宋" w:hAnsi="仿宋" w:eastAsia="仿宋" w:cs="仿宋"/>
          <w:b w:val="0"/>
          <w:bCs w:val="0"/>
          <w:color w:val="auto"/>
          <w:kern w:val="2"/>
          <w:sz w:val="30"/>
          <w:szCs w:val="30"/>
          <w:highlight w:val="none"/>
          <w:lang w:val="en-US" w:eastAsia="zh-CN"/>
        </w:rPr>
        <w:t>5</w:t>
      </w:r>
      <w:r>
        <w:rPr>
          <w:rFonts w:hint="eastAsia" w:ascii="仿宋" w:hAnsi="仿宋" w:eastAsia="仿宋" w:cs="仿宋"/>
          <w:b w:val="0"/>
          <w:bCs w:val="0"/>
          <w:color w:val="auto"/>
          <w:kern w:val="2"/>
          <w:sz w:val="30"/>
          <w:szCs w:val="30"/>
          <w:highlight w:val="none"/>
          <w:lang w:eastAsia="zh-Hans"/>
        </w:rPr>
        <w:t>年，在学校党委和行政的正确领导下，商学院领导班子</w:t>
      </w:r>
      <w:r>
        <w:rPr>
          <w:rFonts w:hint="eastAsia" w:ascii="仿宋" w:hAnsi="仿宋" w:eastAsia="仿宋" w:cs="仿宋"/>
          <w:b w:val="0"/>
          <w:bCs w:val="0"/>
          <w:color w:val="auto"/>
          <w:kern w:val="2"/>
          <w:sz w:val="30"/>
          <w:szCs w:val="30"/>
          <w:highlight w:val="none"/>
          <w:lang w:val="en-US" w:eastAsia="zh-CN"/>
        </w:rPr>
        <w:t>以</w:t>
      </w:r>
      <w:r>
        <w:rPr>
          <w:rFonts w:hint="eastAsia" w:ascii="仿宋" w:hAnsi="仿宋" w:eastAsia="仿宋" w:cs="仿宋"/>
          <w:b w:val="0"/>
          <w:bCs w:val="0"/>
          <w:color w:val="auto"/>
          <w:kern w:val="2"/>
          <w:sz w:val="30"/>
          <w:szCs w:val="30"/>
          <w:highlight w:val="none"/>
          <w:lang w:eastAsia="zh-Hans"/>
        </w:rPr>
        <w:t>习近平新时代中国特色社会主义思想为指引，深入学习贯彻党的二十大及二十届</w:t>
      </w:r>
      <w:r>
        <w:rPr>
          <w:rFonts w:hint="eastAsia" w:ascii="仿宋" w:hAnsi="仿宋" w:eastAsia="仿宋" w:cs="仿宋"/>
          <w:b w:val="0"/>
          <w:bCs w:val="0"/>
          <w:color w:val="auto"/>
          <w:kern w:val="2"/>
          <w:sz w:val="30"/>
          <w:szCs w:val="30"/>
          <w:highlight w:val="none"/>
          <w:lang w:val="en-US" w:eastAsia="zh-CN"/>
        </w:rPr>
        <w:t>历次</w:t>
      </w:r>
      <w:r>
        <w:rPr>
          <w:rFonts w:hint="eastAsia" w:ascii="仿宋" w:hAnsi="仿宋" w:eastAsia="仿宋" w:cs="仿宋"/>
          <w:b w:val="0"/>
          <w:bCs w:val="0"/>
          <w:color w:val="auto"/>
          <w:kern w:val="2"/>
          <w:sz w:val="30"/>
          <w:szCs w:val="30"/>
          <w:highlight w:val="none"/>
          <w:lang w:eastAsia="zh-Hans"/>
        </w:rPr>
        <w:t>全会精神，紧紧围绕“</w:t>
      </w:r>
      <w:r>
        <w:rPr>
          <w:rFonts w:hint="eastAsia" w:ascii="仿宋" w:hAnsi="仿宋" w:eastAsia="仿宋" w:cs="仿宋"/>
          <w:b w:val="0"/>
          <w:bCs w:val="0"/>
          <w:color w:val="auto"/>
          <w:kern w:val="2"/>
          <w:sz w:val="30"/>
          <w:szCs w:val="30"/>
          <w:highlight w:val="none"/>
          <w:lang w:val="en-US" w:eastAsia="zh-CN"/>
        </w:rPr>
        <w:t>建设一流应用型商学院</w:t>
      </w:r>
      <w:r>
        <w:rPr>
          <w:rFonts w:hint="eastAsia" w:ascii="仿宋" w:hAnsi="仿宋" w:eastAsia="仿宋" w:cs="仿宋"/>
          <w:b w:val="0"/>
          <w:bCs w:val="0"/>
          <w:color w:val="auto"/>
          <w:kern w:val="2"/>
          <w:sz w:val="30"/>
          <w:szCs w:val="30"/>
          <w:highlight w:val="none"/>
          <w:lang w:eastAsia="zh-Hans"/>
        </w:rPr>
        <w:t>”奋斗目标，聚焦内涵、追求卓越</w:t>
      </w:r>
      <w:r>
        <w:rPr>
          <w:rFonts w:hint="eastAsia" w:ascii="仿宋" w:hAnsi="仿宋" w:eastAsia="仿宋" w:cs="仿宋"/>
          <w:b w:val="0"/>
          <w:bCs w:val="0"/>
          <w:color w:val="auto"/>
          <w:kern w:val="2"/>
          <w:sz w:val="30"/>
          <w:szCs w:val="30"/>
          <w:highlight w:val="none"/>
          <w:lang w:eastAsia="zh-CN"/>
        </w:rPr>
        <w:t>、</w:t>
      </w:r>
      <w:r>
        <w:rPr>
          <w:rFonts w:hint="eastAsia" w:ascii="仿宋" w:hAnsi="仿宋" w:eastAsia="仿宋" w:cs="仿宋"/>
          <w:b w:val="0"/>
          <w:bCs w:val="0"/>
          <w:color w:val="auto"/>
          <w:kern w:val="2"/>
          <w:sz w:val="30"/>
          <w:szCs w:val="30"/>
          <w:highlight w:val="none"/>
          <w:lang w:eastAsia="zh-Hans"/>
        </w:rPr>
        <w:t>凝心聚力、团结一致，积极推动学院各项事业实现</w:t>
      </w:r>
      <w:r>
        <w:rPr>
          <w:rFonts w:hint="eastAsia" w:ascii="仿宋" w:hAnsi="仿宋" w:eastAsia="仿宋" w:cs="仿宋"/>
          <w:b w:val="0"/>
          <w:bCs w:val="0"/>
          <w:color w:val="auto"/>
          <w:kern w:val="2"/>
          <w:sz w:val="30"/>
          <w:szCs w:val="30"/>
          <w:highlight w:val="none"/>
          <w:lang w:val="en-US" w:eastAsia="zh-CN"/>
        </w:rPr>
        <w:t>跨越式</w:t>
      </w:r>
      <w:r>
        <w:rPr>
          <w:rFonts w:hint="eastAsia" w:ascii="仿宋" w:hAnsi="仿宋" w:eastAsia="仿宋" w:cs="仿宋"/>
          <w:b w:val="0"/>
          <w:bCs w:val="0"/>
          <w:color w:val="auto"/>
          <w:kern w:val="2"/>
          <w:sz w:val="30"/>
          <w:szCs w:val="30"/>
          <w:highlight w:val="none"/>
          <w:lang w:eastAsia="zh-Hans"/>
        </w:rPr>
        <w:t>发展，全面完成</w:t>
      </w:r>
      <w:r>
        <w:rPr>
          <w:rFonts w:hint="eastAsia" w:ascii="仿宋" w:hAnsi="仿宋" w:eastAsia="仿宋" w:cs="仿宋"/>
          <w:b w:val="0"/>
          <w:bCs w:val="0"/>
          <w:color w:val="auto"/>
          <w:kern w:val="2"/>
          <w:sz w:val="30"/>
          <w:szCs w:val="30"/>
          <w:highlight w:val="none"/>
        </w:rPr>
        <w:t>202</w:t>
      </w:r>
      <w:r>
        <w:rPr>
          <w:rFonts w:hint="eastAsia" w:ascii="仿宋" w:hAnsi="仿宋" w:eastAsia="仿宋" w:cs="仿宋"/>
          <w:b w:val="0"/>
          <w:bCs w:val="0"/>
          <w:color w:val="auto"/>
          <w:kern w:val="2"/>
          <w:sz w:val="30"/>
          <w:szCs w:val="30"/>
          <w:highlight w:val="none"/>
          <w:lang w:val="en-US" w:eastAsia="zh-CN"/>
        </w:rPr>
        <w:t>5</w:t>
      </w:r>
      <w:r>
        <w:rPr>
          <w:rFonts w:hint="eastAsia" w:ascii="仿宋" w:hAnsi="仿宋" w:eastAsia="仿宋" w:cs="仿宋"/>
          <w:b w:val="0"/>
          <w:bCs w:val="0"/>
          <w:color w:val="auto"/>
          <w:kern w:val="2"/>
          <w:sz w:val="30"/>
          <w:szCs w:val="30"/>
          <w:highlight w:val="none"/>
          <w:lang w:eastAsia="zh-Hans"/>
        </w:rPr>
        <w:t>年</w:t>
      </w:r>
      <w:r>
        <w:rPr>
          <w:rFonts w:hint="eastAsia" w:ascii="仿宋" w:hAnsi="仿宋" w:eastAsia="仿宋" w:cs="仿宋"/>
          <w:b w:val="0"/>
          <w:bCs w:val="0"/>
          <w:color w:val="auto"/>
          <w:kern w:val="2"/>
          <w:sz w:val="30"/>
          <w:szCs w:val="30"/>
          <w:highlight w:val="none"/>
          <w:lang w:val="en-US" w:eastAsia="zh-CN"/>
        </w:rPr>
        <w:t>年初目标管理任务要求</w:t>
      </w:r>
      <w:r>
        <w:rPr>
          <w:rFonts w:hint="eastAsia" w:ascii="仿宋" w:hAnsi="仿宋" w:eastAsia="仿宋" w:cs="仿宋"/>
          <w:b w:val="0"/>
          <w:bCs w:val="0"/>
          <w:color w:val="auto"/>
          <w:kern w:val="2"/>
          <w:sz w:val="30"/>
          <w:szCs w:val="30"/>
          <w:highlight w:val="none"/>
          <w:lang w:eastAsia="zh-Hans"/>
        </w:rPr>
        <w:t>。</w:t>
      </w:r>
    </w:p>
    <w:p w14:paraId="0478E9DD">
      <w:pPr>
        <w:pStyle w:val="2"/>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602" w:firstLineChars="200"/>
        <w:jc w:val="both"/>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一、党建和思想政治工作</w:t>
      </w:r>
    </w:p>
    <w:p w14:paraId="270E98B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02" w:firstLineChars="200"/>
        <w:textAlignment w:val="auto"/>
        <w:rPr>
          <w:rFonts w:hint="eastAsia" w:ascii="仿宋" w:hAnsi="仿宋" w:eastAsia="仿宋" w:cs="仿宋"/>
          <w:color w:val="auto"/>
          <w:kern w:val="0"/>
          <w:sz w:val="30"/>
          <w:szCs w:val="30"/>
          <w:highlight w:val="none"/>
          <w:lang w:val="en-US" w:eastAsia="zh-CN"/>
        </w:rPr>
      </w:pPr>
      <w:r>
        <w:rPr>
          <w:rFonts w:hint="eastAsia" w:ascii="仿宋" w:hAnsi="仿宋" w:eastAsia="仿宋" w:cs="仿宋"/>
          <w:b/>
          <w:bCs/>
          <w:color w:val="auto"/>
          <w:kern w:val="0"/>
          <w:sz w:val="30"/>
          <w:szCs w:val="30"/>
          <w:highlight w:val="none"/>
          <w:lang w:val="en-US" w:eastAsia="zh-CN"/>
        </w:rPr>
        <w:t>一是强化政治引领，筑牢思想根基。</w:t>
      </w:r>
      <w:r>
        <w:rPr>
          <w:rFonts w:hint="eastAsia" w:ascii="仿宋" w:hAnsi="仿宋" w:eastAsia="仿宋" w:cs="仿宋"/>
          <w:color w:val="auto"/>
          <w:kern w:val="0"/>
          <w:sz w:val="30"/>
          <w:szCs w:val="30"/>
          <w:highlight w:val="none"/>
          <w:lang w:val="en-US" w:eastAsia="zh-CN"/>
        </w:rPr>
        <w:t>深化理论武装，提升思想引领力。商学院党委始终将政治建设摆在首位，严格执行“第一议题”制度，健全“党委理论学习中心组领学、党支部研学、党员自学”三级学习体系。围绕“十五五”规划实施，制定年度学习计划，开展教职工政治理论集中学习10次、党委理论学习中心组学习9次。学习贯彻中央八项规定精神，举办专题读书班、案例剖析会、红色研学等活动15次，组织党员干部观看警示教育片，查摆领导班子问题12项并全部整改完成，完善相关制度2项，切实做到以学践悟、以行践诺、以诺志远，推动理论学习与工作实践形成同频共振。压实意识形态，筑牢政治安全防线。严格落实意识形态工作责任制，实行党政同责、班子成员“一岗双责”，召开专题会议6次，开展分析研判4次。加强各类阵地管理，严把学院官网、官微内容审核关，强化课堂、讲座思想引导。常态化开展消防、反诈等安全教育以及节假日安全专项检查，学院获评“2023-2024 年度校安全综合管理暨平安校园建设工作先进集体”。加强群团引领，凝聚协同发展合力。坚持党建带群建，指导工会、共青团、统战工作，举办教职工体育健身月、女教职工研学、乒乓球比赛等文体竞技活动6次；深化“青马工程”，开展“信仰公开课”10余场及“青年说”“盐小圈”等特色活动；组织师生共植“毕业林”、五条岭烈士陵园祭扫、敬老院志愿服务等公益活动。</w:t>
      </w:r>
    </w:p>
    <w:p w14:paraId="3506AE0A">
      <w:pPr>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val="0"/>
          <w:bCs w:val="0"/>
          <w:color w:val="auto"/>
          <w:kern w:val="0"/>
          <w:sz w:val="30"/>
          <w:szCs w:val="30"/>
          <w:highlight w:val="none"/>
          <w:lang w:val="en-US" w:eastAsia="zh-CN"/>
        </w:rPr>
      </w:pPr>
      <w:r>
        <w:rPr>
          <w:rFonts w:hint="eastAsia" w:ascii="仿宋" w:hAnsi="仿宋" w:eastAsia="仿宋" w:cs="仿宋"/>
          <w:b/>
          <w:bCs/>
          <w:color w:val="auto"/>
          <w:kern w:val="0"/>
          <w:sz w:val="30"/>
          <w:szCs w:val="30"/>
          <w:highlight w:val="none"/>
          <w:lang w:val="en-US" w:eastAsia="zh-CN"/>
        </w:rPr>
        <w:t>二是夯实基层组织基础，建强战斗堡垒。</w:t>
      </w:r>
      <w:r>
        <w:rPr>
          <w:rFonts w:hint="eastAsia" w:ascii="仿宋" w:hAnsi="仿宋" w:eastAsia="仿宋" w:cs="仿宋"/>
          <w:b w:val="0"/>
          <w:bCs w:val="0"/>
          <w:color w:val="auto"/>
          <w:kern w:val="0"/>
          <w:sz w:val="30"/>
          <w:szCs w:val="30"/>
          <w:highlight w:val="none"/>
          <w:lang w:val="en-US" w:eastAsia="zh-CN"/>
        </w:rPr>
        <w:t>规范组织建设，激发支部党建活力。持续推进支部标准化规范化建设，激发“一支部一特色”“双融双促”党建活力。完成2024年度“书记项目”结项2项，2025年书记项目立项2项（其中校级重点1项），获评2024年度基层党建创新奖一等奖1项、最佳党日活动二等奖1项、“铸魂育人 青春向党”好党课2项。优化党员队伍，强化支部管理。开展书记讲党课活动，为党员及入党积极分子筑牢思想根基。全年确定入党积极分子299人，发展学生党员56人、教师党员1人，预备党员转正57人，转接毕业生党员组织关系95人。加强党员教育管理，通过主题党日、知识竞赛、廉洁教育基地研学等方式，强化党性锤炼。扎实推进省级党建示范创建和质量创新工作，扎实推进2个省级“样板支部”提质增效，积极争创1个国家级样板支部。深化廉政建设，涵养清正育人生态。把党风廉政建设贯穿党建工作全过程，开展“5·10”党风廉政教育活动2次，组织党员干部赴党风廉政建设实训基地学习，开展典型案例警示教育4次。健全廉政风险防控体系，筑牢权力运行“防火墙”。完善廉政风险防控机制，组织学生干部开展廉洁经典诵读活动，营造崇廉尚洁的校园氛围。构建全方位廉政监督检查机制，确保党员干部廉洁从政、廉洁从教。全年未发生党员干部违纪违法事件。</w:t>
      </w:r>
    </w:p>
    <w:p w14:paraId="3E6E7CC8">
      <w:pPr>
        <w:widowControl w:val="0"/>
        <w:adjustRightInd/>
        <w:snapToGrid/>
        <w:ind w:firstLine="640"/>
        <w:jc w:val="left"/>
        <w:rPr>
          <w:rFonts w:hint="eastAsia" w:ascii="仿宋" w:hAnsi="仿宋" w:eastAsia="仿宋" w:cs="仿宋"/>
          <w:b/>
          <w:bCs/>
          <w:color w:val="auto"/>
          <w:kern w:val="0"/>
          <w:sz w:val="30"/>
          <w:szCs w:val="30"/>
          <w:highlight w:val="none"/>
        </w:rPr>
      </w:pPr>
      <w:r>
        <w:rPr>
          <w:rFonts w:hint="eastAsia" w:ascii="仿宋" w:hAnsi="仿宋" w:eastAsia="仿宋" w:cs="仿宋"/>
          <w:b/>
          <w:bCs/>
          <w:color w:val="auto"/>
          <w:kern w:val="0"/>
          <w:sz w:val="30"/>
          <w:szCs w:val="30"/>
          <w:highlight w:val="none"/>
          <w:lang w:val="en-US" w:eastAsia="zh-CN"/>
        </w:rPr>
        <w:t>三是深化党建业务融合，引领高质量发展。</w:t>
      </w:r>
      <w:r>
        <w:rPr>
          <w:rFonts w:hint="eastAsia" w:ascii="仿宋" w:hAnsi="仿宋" w:eastAsia="仿宋" w:cs="仿宋"/>
          <w:b w:val="0"/>
          <w:bCs w:val="0"/>
          <w:color w:val="auto"/>
          <w:kern w:val="0"/>
          <w:sz w:val="30"/>
          <w:szCs w:val="30"/>
          <w:highlight w:val="none"/>
          <w:lang w:val="en-US" w:eastAsia="zh-CN"/>
        </w:rPr>
        <w:t>党建+学科科研，激活创新发展动能。</w:t>
      </w:r>
      <w:r>
        <w:rPr>
          <w:rFonts w:hint="eastAsia" w:ascii="仿宋" w:hAnsi="仿宋" w:eastAsia="仿宋" w:cs="仿宋"/>
          <w:color w:val="auto"/>
          <w:kern w:val="0"/>
          <w:sz w:val="30"/>
          <w:szCs w:val="30"/>
          <w:highlight w:val="none"/>
          <w:lang w:val="en-US" w:eastAsia="zh-CN"/>
        </w:rPr>
        <w:t>坚持“围绕中心抓党建，抓好党建促发展”，将党建工作与学科建设、科研创新深度融合。依托“双带头人”教师党支部书记“强国行”专项行动，树立学院标杆和样板。支部获批校级基层党建“书记项目”、校级党建工作样板支部培育创建单位、省级强国行团队。支部组织党员教师深入企业、农村开展调研3次。</w:t>
      </w:r>
      <w:r>
        <w:rPr>
          <w:rFonts w:hint="eastAsia" w:ascii="仿宋" w:hAnsi="仿宋" w:eastAsia="仿宋" w:cs="仿宋"/>
          <w:b w:val="0"/>
          <w:bCs w:val="0"/>
          <w:color w:val="auto"/>
          <w:kern w:val="0"/>
          <w:sz w:val="30"/>
          <w:szCs w:val="30"/>
          <w:highlight w:val="none"/>
          <w:lang w:val="en-US" w:eastAsia="zh-CN"/>
        </w:rPr>
        <w:t>党建+人才培养，筑牢立德树人根基。</w:t>
      </w:r>
      <w:r>
        <w:rPr>
          <w:rFonts w:hint="eastAsia" w:ascii="仿宋" w:hAnsi="仿宋" w:eastAsia="仿宋" w:cs="仿宋"/>
          <w:color w:val="auto"/>
          <w:kern w:val="0"/>
          <w:sz w:val="30"/>
          <w:szCs w:val="30"/>
          <w:highlight w:val="none"/>
          <w:lang w:val="en-US" w:eastAsia="zh-CN"/>
        </w:rPr>
        <w:t>以党建引领教育教学改革，将课程思政融入人才培养全过程，获省级“信仰公开课”精品课1项，省易班优质公开课三等奖1项；加强师德师风建设，召开师德师风专题会议4次，引导教师严守职业底线，锤炼品德过硬的师资队伍。</w:t>
      </w:r>
      <w:r>
        <w:rPr>
          <w:rFonts w:hint="eastAsia" w:ascii="仿宋" w:hAnsi="仿宋" w:eastAsia="仿宋" w:cs="仿宋"/>
          <w:b w:val="0"/>
          <w:bCs w:val="0"/>
          <w:color w:val="auto"/>
          <w:kern w:val="0"/>
          <w:sz w:val="30"/>
          <w:szCs w:val="30"/>
          <w:highlight w:val="none"/>
          <w:lang w:val="en-US" w:eastAsia="zh-CN"/>
        </w:rPr>
        <w:t>党建+社会服务，拓展党建共建维度。</w:t>
      </w:r>
      <w:r>
        <w:rPr>
          <w:rFonts w:hint="eastAsia" w:ascii="仿宋" w:hAnsi="仿宋" w:eastAsia="仿宋" w:cs="仿宋"/>
          <w:color w:val="auto"/>
          <w:kern w:val="0"/>
          <w:sz w:val="30"/>
          <w:szCs w:val="30"/>
          <w:highlight w:val="none"/>
          <w:lang w:val="en-US" w:eastAsia="zh-CN"/>
        </w:rPr>
        <w:t>创新红色区域党建共建机制，与地方政府、企业、社区党组织开展共建活动2次，联合开展乡村振兴、企业帮扶等志愿服务活动20余次，累计服务时长超1000小时。与阜宁现代农业产业园开展党建联建活动，推动党建优势转化为当地发展优势。新建社会实践基地4个，学院获评校级社会实践先进集体。学院党建与社会服务相关工作在《交汇点》《中国青年网》《江苏网》等媒体报道50余次，社会影响力持续提升。</w:t>
      </w:r>
    </w:p>
    <w:p w14:paraId="626262DF">
      <w:pPr>
        <w:pStyle w:val="2"/>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602" w:firstLineChars="200"/>
        <w:jc w:val="both"/>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二、人才工作 </w:t>
      </w:r>
    </w:p>
    <w:p w14:paraId="014AD6DB">
      <w:pPr>
        <w:keepNext w:val="0"/>
        <w:keepLines w:val="0"/>
        <w:pageBreakBefore w:val="0"/>
        <w:kinsoku/>
        <w:wordWrap/>
        <w:overflowPunct/>
        <w:topLinePunct w:val="0"/>
        <w:autoSpaceDE/>
        <w:autoSpaceDN/>
        <w:bidi w:val="0"/>
        <w:adjustRightInd/>
        <w:snapToGrid/>
        <w:spacing w:line="360" w:lineRule="auto"/>
        <w:ind w:firstLine="600"/>
        <w:textAlignment w:val="auto"/>
        <w:outlineLvl w:val="9"/>
        <w:rPr>
          <w:rFonts w:hint="eastAsia" w:ascii="仿宋" w:hAnsi="仿宋" w:eastAsia="仿宋" w:cs="仿宋"/>
          <w:b w:val="0"/>
          <w:bCs w:val="0"/>
          <w:color w:val="auto"/>
          <w:sz w:val="30"/>
          <w:szCs w:val="30"/>
          <w:highlight w:val="none"/>
        </w:rPr>
      </w:pPr>
      <w:r>
        <w:rPr>
          <w:rFonts w:hint="eastAsia" w:ascii="仿宋" w:hAnsi="仿宋" w:eastAsia="仿宋" w:cs="仿宋"/>
          <w:b/>
          <w:bCs/>
          <w:color w:val="auto"/>
          <w:sz w:val="30"/>
          <w:szCs w:val="30"/>
          <w:highlight w:val="none"/>
        </w:rPr>
        <w:t>一是高层次人才引进力度持续加强。</w:t>
      </w:r>
      <w:r>
        <w:rPr>
          <w:rFonts w:hint="eastAsia" w:ascii="仿宋" w:hAnsi="仿宋" w:eastAsia="仿宋" w:cs="仿宋"/>
          <w:b w:val="0"/>
          <w:bCs w:val="0"/>
          <w:color w:val="auto"/>
          <w:sz w:val="30"/>
          <w:szCs w:val="30"/>
          <w:highlight w:val="none"/>
        </w:rPr>
        <w:t>为扎实推进学院高层次人才引进工作，拓宽人才引进渠道，提升学院</w:t>
      </w:r>
      <w:r>
        <w:rPr>
          <w:rFonts w:hint="eastAsia" w:ascii="仿宋" w:hAnsi="仿宋" w:eastAsia="仿宋" w:cs="仿宋"/>
          <w:b w:val="0"/>
          <w:bCs w:val="0"/>
          <w:color w:val="auto"/>
          <w:sz w:val="30"/>
          <w:szCs w:val="30"/>
          <w:highlight w:val="none"/>
          <w:lang w:val="en-US" w:eastAsia="zh-CN"/>
        </w:rPr>
        <w:t>核心</w:t>
      </w:r>
      <w:r>
        <w:rPr>
          <w:rFonts w:hint="eastAsia" w:ascii="仿宋" w:hAnsi="仿宋" w:eastAsia="仿宋" w:cs="仿宋"/>
          <w:b w:val="0"/>
          <w:bCs w:val="0"/>
          <w:color w:val="auto"/>
          <w:sz w:val="30"/>
          <w:szCs w:val="30"/>
          <w:highlight w:val="none"/>
        </w:rPr>
        <w:t>竞争力，为各项事业发展增加人才储备，学院2025年累计</w:t>
      </w:r>
      <w:r>
        <w:rPr>
          <w:rFonts w:hint="eastAsia" w:ascii="仿宋" w:hAnsi="仿宋" w:eastAsia="仿宋" w:cs="仿宋"/>
          <w:b w:val="0"/>
          <w:bCs w:val="0"/>
          <w:color w:val="auto"/>
          <w:sz w:val="30"/>
          <w:szCs w:val="30"/>
          <w:highlight w:val="none"/>
          <w:lang w:val="en-US" w:eastAsia="zh-CN"/>
        </w:rPr>
        <w:t>先后</w:t>
      </w:r>
      <w:r>
        <w:rPr>
          <w:rFonts w:hint="eastAsia" w:ascii="仿宋" w:hAnsi="仿宋" w:eastAsia="仿宋" w:cs="仿宋"/>
          <w:b w:val="0"/>
          <w:bCs w:val="0"/>
          <w:color w:val="auto"/>
          <w:sz w:val="30"/>
          <w:szCs w:val="30"/>
          <w:highlight w:val="none"/>
        </w:rPr>
        <w:t>参加线上线下高层次人才招聘会</w:t>
      </w:r>
      <w:r>
        <w:rPr>
          <w:rFonts w:hint="eastAsia" w:ascii="仿宋" w:hAnsi="仿宋" w:eastAsia="仿宋" w:cs="仿宋"/>
          <w:b w:val="0"/>
          <w:bCs w:val="0"/>
          <w:color w:val="auto"/>
          <w:sz w:val="30"/>
          <w:szCs w:val="30"/>
          <w:highlight w:val="none"/>
          <w:lang w:val="en-US" w:eastAsia="zh-CN"/>
        </w:rPr>
        <w:t>7</w:t>
      </w:r>
      <w:r>
        <w:rPr>
          <w:rFonts w:hint="eastAsia" w:ascii="仿宋" w:hAnsi="仿宋" w:eastAsia="仿宋" w:cs="仿宋"/>
          <w:b w:val="0"/>
          <w:bCs w:val="0"/>
          <w:color w:val="auto"/>
          <w:sz w:val="30"/>
          <w:szCs w:val="30"/>
          <w:highlight w:val="none"/>
        </w:rPr>
        <w:t>场，包括</w:t>
      </w:r>
      <w:r>
        <w:rPr>
          <w:rFonts w:hint="eastAsia" w:ascii="仿宋" w:hAnsi="仿宋" w:eastAsia="仿宋" w:cs="仿宋"/>
          <w:b w:val="0"/>
          <w:bCs w:val="0"/>
          <w:color w:val="auto"/>
          <w:sz w:val="30"/>
          <w:szCs w:val="30"/>
          <w:highlight w:val="none"/>
          <w:lang w:val="en-US" w:eastAsia="zh-CN"/>
        </w:rPr>
        <w:t>清华大学、</w:t>
      </w:r>
      <w:r>
        <w:rPr>
          <w:rFonts w:hint="eastAsia" w:ascii="仿宋" w:hAnsi="仿宋" w:eastAsia="仿宋" w:cs="仿宋"/>
          <w:b w:val="0"/>
          <w:bCs w:val="0"/>
          <w:color w:val="auto"/>
          <w:sz w:val="30"/>
          <w:szCs w:val="30"/>
          <w:highlight w:val="none"/>
        </w:rPr>
        <w:t>复旦大学、南京大学、上海交通大学</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lang w:val="en-US" w:eastAsia="zh-CN"/>
        </w:rPr>
        <w:t>武汉大学、华中科技大学</w:t>
      </w:r>
      <w:r>
        <w:rPr>
          <w:rFonts w:hint="eastAsia" w:ascii="仿宋" w:hAnsi="仿宋" w:eastAsia="仿宋" w:cs="仿宋"/>
          <w:b w:val="0"/>
          <w:bCs w:val="0"/>
          <w:color w:val="auto"/>
          <w:sz w:val="30"/>
          <w:szCs w:val="30"/>
          <w:highlight w:val="none"/>
        </w:rPr>
        <w:t>等专场，认真做好宣讲及简历收集工作。本年度共收到博士简历</w:t>
      </w:r>
      <w:r>
        <w:rPr>
          <w:rFonts w:hint="eastAsia" w:ascii="仿宋" w:hAnsi="仿宋" w:eastAsia="仿宋" w:cs="仿宋"/>
          <w:b w:val="0"/>
          <w:bCs w:val="0"/>
          <w:color w:val="auto"/>
          <w:sz w:val="30"/>
          <w:szCs w:val="30"/>
          <w:highlight w:val="none"/>
          <w:lang w:val="en-US" w:eastAsia="zh-CN"/>
        </w:rPr>
        <w:t>5</w:t>
      </w:r>
      <w:r>
        <w:rPr>
          <w:rFonts w:hint="eastAsia" w:ascii="仿宋" w:hAnsi="仿宋" w:eastAsia="仿宋" w:cs="仿宋"/>
          <w:b w:val="0"/>
          <w:bCs w:val="0"/>
          <w:color w:val="auto"/>
          <w:sz w:val="30"/>
          <w:szCs w:val="30"/>
          <w:highlight w:val="none"/>
        </w:rPr>
        <w:t>00余份，</w:t>
      </w:r>
      <w:r>
        <w:rPr>
          <w:rFonts w:hint="eastAsia" w:ascii="仿宋" w:hAnsi="仿宋" w:eastAsia="仿宋" w:cs="仿宋"/>
          <w:b w:val="0"/>
          <w:bCs w:val="0"/>
          <w:color w:val="auto"/>
          <w:sz w:val="30"/>
          <w:szCs w:val="30"/>
          <w:highlight w:val="none"/>
          <w:lang w:val="en-US" w:eastAsia="zh-CN"/>
        </w:rPr>
        <w:t>根据学科专业布局调整，精准引才，有效组织</w:t>
      </w:r>
      <w:r>
        <w:rPr>
          <w:rFonts w:hint="eastAsia" w:ascii="仿宋" w:hAnsi="仿宋" w:eastAsia="仿宋" w:cs="仿宋"/>
          <w:b w:val="0"/>
          <w:bCs w:val="0"/>
          <w:color w:val="auto"/>
          <w:sz w:val="30"/>
          <w:szCs w:val="30"/>
          <w:highlight w:val="none"/>
        </w:rPr>
        <w:t>高层次人才面试4场，面试了来自南京大学、西安交通大学、同济大学、东南大学、对外经济贸易大学、河海大学、中国海洋大学和华中科技大学和南京理工大学等院校博士12名，待签约博士1名</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lang w:val="en-US" w:eastAsia="zh-CN"/>
        </w:rPr>
        <w:t>3名博士排队待上会</w:t>
      </w:r>
      <w:r>
        <w:rPr>
          <w:rFonts w:hint="eastAsia" w:ascii="仿宋" w:hAnsi="仿宋" w:eastAsia="仿宋" w:cs="仿宋"/>
          <w:b w:val="0"/>
          <w:bCs w:val="0"/>
          <w:color w:val="auto"/>
          <w:sz w:val="30"/>
          <w:szCs w:val="30"/>
          <w:highlight w:val="none"/>
        </w:rPr>
        <w:t>。学院师资队伍结构得到</w:t>
      </w:r>
      <w:r>
        <w:rPr>
          <w:rFonts w:hint="eastAsia" w:ascii="仿宋" w:hAnsi="仿宋" w:eastAsia="仿宋" w:cs="仿宋"/>
          <w:b w:val="0"/>
          <w:bCs w:val="0"/>
          <w:color w:val="auto"/>
          <w:sz w:val="30"/>
          <w:szCs w:val="30"/>
          <w:highlight w:val="none"/>
          <w:lang w:val="en-US" w:eastAsia="zh-CN"/>
        </w:rPr>
        <w:t>持续</w:t>
      </w:r>
      <w:r>
        <w:rPr>
          <w:rFonts w:hint="eastAsia" w:ascii="仿宋" w:hAnsi="仿宋" w:eastAsia="仿宋" w:cs="仿宋"/>
          <w:b w:val="0"/>
          <w:bCs w:val="0"/>
          <w:color w:val="auto"/>
          <w:sz w:val="30"/>
          <w:szCs w:val="30"/>
          <w:highlight w:val="none"/>
        </w:rPr>
        <w:t>优化。</w:t>
      </w:r>
    </w:p>
    <w:p w14:paraId="3E7FD4C7">
      <w:pPr>
        <w:pStyle w:val="4"/>
        <w:keepNext w:val="0"/>
        <w:keepLines w:val="0"/>
        <w:pageBreakBefore w:val="0"/>
        <w:kinsoku/>
        <w:wordWrap/>
        <w:overflowPunct/>
        <w:topLinePunct w:val="0"/>
        <w:autoSpaceDE/>
        <w:autoSpaceDN/>
        <w:bidi w:val="0"/>
        <w:adjustRightInd/>
        <w:snapToGrid/>
        <w:ind w:firstLine="602" w:firstLineChars="200"/>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b/>
          <w:bCs/>
          <w:color w:val="auto"/>
          <w:sz w:val="30"/>
          <w:szCs w:val="30"/>
          <w:highlight w:val="none"/>
        </w:rPr>
        <w:t>二是师资培养和国际化工作持续推进。</w:t>
      </w:r>
      <w:r>
        <w:rPr>
          <w:rFonts w:hint="eastAsia" w:ascii="仿宋" w:hAnsi="仿宋" w:eastAsia="仿宋" w:cs="仿宋"/>
          <w:color w:val="auto"/>
          <w:sz w:val="30"/>
          <w:szCs w:val="30"/>
          <w:highlight w:val="none"/>
        </w:rPr>
        <w:t>根据</w:t>
      </w:r>
      <w:r>
        <w:rPr>
          <w:rFonts w:hint="eastAsia" w:ascii="仿宋" w:hAnsi="仿宋" w:eastAsia="仿宋" w:cs="仿宋"/>
          <w:color w:val="auto"/>
          <w:sz w:val="30"/>
          <w:szCs w:val="30"/>
          <w:highlight w:val="none"/>
          <w:lang w:val="en-US" w:eastAsia="zh-CN"/>
        </w:rPr>
        <w:t>人才成长与发展规律</w:t>
      </w:r>
      <w:r>
        <w:rPr>
          <w:rFonts w:hint="eastAsia" w:ascii="仿宋" w:hAnsi="仿宋" w:eastAsia="仿宋" w:cs="仿宋"/>
          <w:color w:val="auto"/>
          <w:sz w:val="30"/>
          <w:szCs w:val="30"/>
          <w:highlight w:val="none"/>
        </w:rPr>
        <w:t>，针对性制定培养措施、评价标准和激励办法，促进青年教师提高学历层次。202</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年学院</w:t>
      </w:r>
      <w:r>
        <w:rPr>
          <w:rFonts w:hint="eastAsia" w:ascii="仿宋" w:hAnsi="仿宋" w:eastAsia="仿宋" w:cs="仿宋"/>
          <w:color w:val="auto"/>
          <w:sz w:val="30"/>
          <w:szCs w:val="30"/>
          <w:highlight w:val="none"/>
          <w:lang w:val="en-US" w:eastAsia="zh-CN"/>
        </w:rPr>
        <w:t>博士毕业1人（张晓燕），</w:t>
      </w:r>
      <w:r>
        <w:rPr>
          <w:rFonts w:hint="eastAsia" w:ascii="仿宋" w:hAnsi="仿宋" w:eastAsia="仿宋" w:cs="仿宋"/>
          <w:color w:val="auto"/>
          <w:sz w:val="30"/>
          <w:szCs w:val="30"/>
          <w:highlight w:val="none"/>
        </w:rPr>
        <w:t>新增考取博士</w:t>
      </w:r>
      <w:r>
        <w:rPr>
          <w:rFonts w:hint="eastAsia" w:ascii="仿宋" w:hAnsi="仿宋" w:eastAsia="仿宋" w:cs="仿宋"/>
          <w:color w:val="auto"/>
          <w:sz w:val="30"/>
          <w:szCs w:val="30"/>
          <w:highlight w:val="none"/>
          <w:lang w:val="en-US" w:eastAsia="zh-CN"/>
        </w:rPr>
        <w:t>1人</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朱兵</w:t>
      </w:r>
      <w:r>
        <w:rPr>
          <w:rFonts w:hint="eastAsia" w:ascii="仿宋" w:hAnsi="仿宋" w:eastAsia="仿宋" w:cs="仿宋"/>
          <w:color w:val="auto"/>
          <w:sz w:val="30"/>
          <w:szCs w:val="30"/>
          <w:highlight w:val="none"/>
        </w:rPr>
        <w:t>）。鼓励教师自觉参加高层次培训和交流。邀请</w:t>
      </w:r>
      <w:r>
        <w:rPr>
          <w:rFonts w:hint="eastAsia" w:ascii="仿宋" w:hAnsi="仿宋" w:eastAsia="仿宋" w:cs="仿宋"/>
          <w:color w:val="auto"/>
          <w:sz w:val="30"/>
          <w:szCs w:val="30"/>
          <w:highlight w:val="none"/>
          <w:lang w:val="en-US" w:eastAsia="zh-CN"/>
        </w:rPr>
        <w:t>知名</w:t>
      </w:r>
      <w:r>
        <w:rPr>
          <w:rFonts w:hint="eastAsia" w:ascii="仿宋" w:hAnsi="仿宋" w:eastAsia="仿宋" w:cs="仿宋"/>
          <w:color w:val="auto"/>
          <w:sz w:val="30"/>
          <w:szCs w:val="30"/>
          <w:highlight w:val="none"/>
        </w:rPr>
        <w:t>学者专家做专题讲座，着重培养青年教师的学术素养</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举办的数字经济政产学研合作论坛暨首届经管学科青年学者论坛，积极为青年教师提供学术交流机会，相关新闻报道先后在新华日报江苏省人民政府网站、新华日报、中国新闻网等媒体纷纷转载，图片新闻点击量超12万。2025年选派1名教师和2名学生赴新加坡国立大学参加人工智能时代下的教育创新项目，新增加留学生47人，累计在校留学生达82人，进一步拓展了国际化合作空间。</w:t>
      </w:r>
    </w:p>
    <w:p w14:paraId="64CCB200">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ascii="仿宋" w:hAnsi="仿宋" w:eastAsia="仿宋" w:cs="仿宋"/>
          <w:color w:val="auto"/>
          <w:kern w:val="2"/>
          <w:sz w:val="30"/>
          <w:szCs w:val="30"/>
          <w:highlight w:val="none"/>
          <w:lang w:val="en-US" w:eastAsia="zh-Hans" w:bidi="ar-SA"/>
        </w:rPr>
      </w:pPr>
      <w:r>
        <w:rPr>
          <w:rFonts w:hint="eastAsia" w:ascii="仿宋" w:hAnsi="仿宋" w:eastAsia="仿宋" w:cs="仿宋"/>
          <w:b/>
          <w:bCs/>
          <w:color w:val="auto"/>
          <w:kern w:val="2"/>
          <w:sz w:val="30"/>
          <w:szCs w:val="30"/>
          <w:highlight w:val="none"/>
        </w:rPr>
        <w:t>三是职称评聘工作平稳有序。</w:t>
      </w:r>
      <w:r>
        <w:rPr>
          <w:rFonts w:hint="eastAsia" w:ascii="仿宋" w:hAnsi="仿宋" w:eastAsia="仿宋" w:cs="仿宋"/>
          <w:b w:val="0"/>
          <w:bCs w:val="0"/>
          <w:color w:val="auto"/>
          <w:kern w:val="2"/>
          <w:sz w:val="30"/>
          <w:szCs w:val="30"/>
          <w:highlight w:val="none"/>
          <w:lang w:val="en-US" w:eastAsia="zh-CN"/>
        </w:rPr>
        <w:t>学院</w:t>
      </w:r>
      <w:r>
        <w:rPr>
          <w:rFonts w:hint="eastAsia" w:ascii="仿宋" w:hAnsi="仿宋" w:eastAsia="仿宋" w:cs="仿宋"/>
          <w:color w:val="auto"/>
          <w:sz w:val="30"/>
          <w:szCs w:val="30"/>
          <w:highlight w:val="none"/>
          <w:lang w:val="en-US" w:eastAsia="zh-CN"/>
        </w:rPr>
        <w:t>专门成立教职工职称评聘工作领导小组，严格按照学校相关文件精神和评审程序，做好2025年度教职工职称评审及推荐工作。</w:t>
      </w:r>
      <w:r>
        <w:rPr>
          <w:rFonts w:hint="eastAsia" w:ascii="仿宋" w:hAnsi="仿宋" w:eastAsia="仿宋" w:cs="仿宋"/>
          <w:color w:val="auto"/>
          <w:kern w:val="2"/>
          <w:sz w:val="30"/>
          <w:szCs w:val="30"/>
          <w:highlight w:val="none"/>
          <w:lang w:val="en-US" w:eastAsia="zh-CN" w:bidi="ar-SA"/>
        </w:rPr>
        <w:t> </w:t>
      </w:r>
      <w:r>
        <w:rPr>
          <w:rFonts w:hint="eastAsia" w:ascii="仿宋" w:hAnsi="仿宋" w:eastAsia="仿宋" w:cs="仿宋"/>
          <w:color w:val="auto"/>
          <w:kern w:val="2"/>
          <w:sz w:val="30"/>
          <w:szCs w:val="30"/>
          <w:highlight w:val="none"/>
          <w:lang w:val="en-US" w:eastAsia="zh-Hans" w:bidi="ar-SA"/>
        </w:rPr>
        <w:t>202</w:t>
      </w:r>
      <w:r>
        <w:rPr>
          <w:rFonts w:hint="eastAsia" w:ascii="仿宋" w:hAnsi="仿宋" w:eastAsia="仿宋" w:cs="仿宋"/>
          <w:color w:val="auto"/>
          <w:kern w:val="2"/>
          <w:sz w:val="30"/>
          <w:szCs w:val="30"/>
          <w:highlight w:val="none"/>
          <w:lang w:val="en-US" w:eastAsia="zh-CN" w:bidi="ar-SA"/>
        </w:rPr>
        <w:t>5</w:t>
      </w:r>
      <w:r>
        <w:rPr>
          <w:rFonts w:hint="eastAsia" w:ascii="仿宋" w:hAnsi="仿宋" w:eastAsia="仿宋" w:cs="仿宋"/>
          <w:color w:val="auto"/>
          <w:kern w:val="2"/>
          <w:sz w:val="30"/>
          <w:szCs w:val="30"/>
          <w:highlight w:val="none"/>
          <w:lang w:val="en-US" w:eastAsia="zh-Hans" w:bidi="ar-SA"/>
        </w:rPr>
        <w:t>年</w:t>
      </w:r>
      <w:r>
        <w:rPr>
          <w:rFonts w:hint="eastAsia" w:ascii="仿宋" w:hAnsi="仿宋" w:eastAsia="仿宋" w:cs="仿宋"/>
          <w:color w:val="auto"/>
          <w:kern w:val="2"/>
          <w:sz w:val="30"/>
          <w:szCs w:val="30"/>
          <w:highlight w:val="none"/>
          <w:lang w:val="en-US" w:eastAsia="zh-CN" w:bidi="ar-SA"/>
        </w:rPr>
        <w:t>，</w:t>
      </w:r>
      <w:r>
        <w:rPr>
          <w:rFonts w:hint="eastAsia" w:ascii="仿宋" w:hAnsi="仿宋" w:eastAsia="仿宋" w:cs="仿宋"/>
          <w:color w:val="auto"/>
          <w:kern w:val="2"/>
          <w:sz w:val="30"/>
          <w:szCs w:val="30"/>
          <w:highlight w:val="none"/>
          <w:lang w:val="en-US" w:eastAsia="zh-Hans" w:bidi="ar-SA"/>
        </w:rPr>
        <w:t>学院共</w:t>
      </w:r>
      <w:r>
        <w:rPr>
          <w:rFonts w:hint="eastAsia" w:ascii="仿宋" w:hAnsi="仿宋" w:eastAsia="仿宋" w:cs="仿宋"/>
          <w:color w:val="auto"/>
          <w:kern w:val="2"/>
          <w:sz w:val="30"/>
          <w:szCs w:val="30"/>
          <w:highlight w:val="none"/>
          <w:lang w:val="en-US" w:eastAsia="zh-CN" w:bidi="ar-SA"/>
        </w:rPr>
        <w:t>有1人</w:t>
      </w:r>
      <w:r>
        <w:rPr>
          <w:rFonts w:hint="eastAsia" w:ascii="仿宋" w:hAnsi="仿宋" w:eastAsia="仿宋" w:cs="仿宋"/>
          <w:color w:val="auto"/>
          <w:kern w:val="2"/>
          <w:sz w:val="30"/>
          <w:szCs w:val="30"/>
          <w:highlight w:val="none"/>
          <w:lang w:val="en-US" w:eastAsia="zh-Hans" w:bidi="ar-SA"/>
        </w:rPr>
        <w:t>直定</w:t>
      </w:r>
      <w:r>
        <w:rPr>
          <w:rFonts w:hint="eastAsia" w:ascii="仿宋" w:hAnsi="仿宋" w:eastAsia="仿宋" w:cs="仿宋"/>
          <w:color w:val="auto"/>
          <w:kern w:val="2"/>
          <w:sz w:val="30"/>
          <w:szCs w:val="30"/>
          <w:highlight w:val="none"/>
          <w:lang w:val="en-US" w:eastAsia="zh-CN" w:bidi="ar-SA"/>
        </w:rPr>
        <w:t>讲师</w:t>
      </w:r>
      <w:r>
        <w:rPr>
          <w:rFonts w:hint="eastAsia" w:ascii="仿宋" w:hAnsi="仿宋" w:eastAsia="仿宋" w:cs="仿宋"/>
          <w:color w:val="auto"/>
          <w:kern w:val="2"/>
          <w:sz w:val="30"/>
          <w:szCs w:val="30"/>
          <w:highlight w:val="none"/>
          <w:lang w:val="en-US" w:eastAsia="zh-Hans" w:bidi="ar-SA"/>
        </w:rPr>
        <w:t>职称（</w:t>
      </w:r>
      <w:r>
        <w:rPr>
          <w:rFonts w:hint="eastAsia" w:ascii="仿宋" w:hAnsi="仿宋" w:eastAsia="仿宋" w:cs="仿宋"/>
          <w:color w:val="auto"/>
          <w:kern w:val="2"/>
          <w:sz w:val="30"/>
          <w:szCs w:val="30"/>
          <w:highlight w:val="none"/>
          <w:lang w:val="en-US" w:eastAsia="zh-CN" w:bidi="ar-SA"/>
        </w:rPr>
        <w:t>成卓</w:t>
      </w:r>
      <w:r>
        <w:rPr>
          <w:rFonts w:hint="eastAsia" w:ascii="仿宋" w:hAnsi="仿宋" w:eastAsia="仿宋" w:cs="仿宋"/>
          <w:color w:val="auto"/>
          <w:kern w:val="2"/>
          <w:sz w:val="30"/>
          <w:szCs w:val="30"/>
          <w:highlight w:val="none"/>
          <w:lang w:val="en-US" w:eastAsia="zh-Hans" w:bidi="ar-SA"/>
        </w:rPr>
        <w:t>）</w:t>
      </w:r>
      <w:r>
        <w:rPr>
          <w:rFonts w:hint="eastAsia" w:ascii="仿宋" w:hAnsi="仿宋" w:eastAsia="仿宋" w:cs="仿宋"/>
          <w:color w:val="auto"/>
          <w:kern w:val="2"/>
          <w:sz w:val="30"/>
          <w:szCs w:val="30"/>
          <w:highlight w:val="none"/>
          <w:lang w:val="en-US" w:eastAsia="zh-CN" w:bidi="ar-SA"/>
        </w:rPr>
        <w:t>、1人转评讲师（李梁）、4人直定助教</w:t>
      </w:r>
      <w:r>
        <w:rPr>
          <w:rFonts w:hint="eastAsia" w:ascii="仿宋" w:hAnsi="仿宋" w:eastAsia="仿宋" w:cs="仿宋"/>
          <w:color w:val="auto"/>
          <w:kern w:val="2"/>
          <w:sz w:val="30"/>
          <w:szCs w:val="30"/>
          <w:highlight w:val="none"/>
          <w:lang w:val="en-US" w:eastAsia="zh-Hans" w:bidi="ar-SA"/>
        </w:rPr>
        <w:t>职称</w:t>
      </w:r>
      <w:r>
        <w:rPr>
          <w:rFonts w:hint="eastAsia" w:ascii="仿宋" w:hAnsi="仿宋" w:eastAsia="仿宋" w:cs="仿宋"/>
          <w:color w:val="auto"/>
          <w:kern w:val="2"/>
          <w:sz w:val="30"/>
          <w:szCs w:val="30"/>
          <w:highlight w:val="none"/>
          <w:lang w:val="en-US" w:eastAsia="zh-CN" w:bidi="ar-SA"/>
        </w:rPr>
        <w:t>（周业晟、侯帅、刘彦君、王强）</w:t>
      </w:r>
      <w:r>
        <w:rPr>
          <w:rFonts w:hint="eastAsia" w:ascii="仿宋" w:hAnsi="仿宋" w:eastAsia="仿宋" w:cs="仿宋"/>
          <w:color w:val="auto"/>
          <w:kern w:val="2"/>
          <w:sz w:val="30"/>
          <w:szCs w:val="30"/>
          <w:highlight w:val="none"/>
          <w:lang w:val="en-US" w:eastAsia="zh-Hans" w:bidi="ar-SA"/>
        </w:rPr>
        <w:t>。</w:t>
      </w:r>
      <w:r>
        <w:rPr>
          <w:rFonts w:hint="eastAsia" w:ascii="仿宋" w:hAnsi="仿宋" w:eastAsia="仿宋" w:cs="仿宋"/>
          <w:color w:val="auto"/>
          <w:kern w:val="2"/>
          <w:sz w:val="30"/>
          <w:szCs w:val="30"/>
          <w:highlight w:val="none"/>
          <w:lang w:val="en-US" w:eastAsia="zh-CN" w:bidi="ar-SA"/>
        </w:rPr>
        <w:t>另有6</w:t>
      </w:r>
      <w:r>
        <w:rPr>
          <w:rFonts w:hint="eastAsia" w:ascii="仿宋" w:hAnsi="仿宋" w:eastAsia="仿宋" w:cs="仿宋"/>
          <w:color w:val="auto"/>
          <w:kern w:val="2"/>
          <w:sz w:val="30"/>
          <w:szCs w:val="30"/>
          <w:highlight w:val="none"/>
          <w:lang w:val="en-US" w:eastAsia="zh-Hans" w:bidi="ar-SA"/>
        </w:rPr>
        <w:t>人参与职称评定，其中</w:t>
      </w:r>
      <w:r>
        <w:rPr>
          <w:rFonts w:hint="eastAsia" w:ascii="仿宋" w:hAnsi="仿宋" w:eastAsia="仿宋" w:cs="仿宋"/>
          <w:color w:val="auto"/>
          <w:kern w:val="2"/>
          <w:sz w:val="30"/>
          <w:szCs w:val="30"/>
          <w:highlight w:val="none"/>
          <w:lang w:val="en-US" w:eastAsia="zh-CN" w:bidi="ar-SA"/>
        </w:rPr>
        <w:t>3</w:t>
      </w:r>
      <w:r>
        <w:rPr>
          <w:rFonts w:hint="eastAsia" w:ascii="仿宋" w:hAnsi="仿宋" w:eastAsia="仿宋" w:cs="仿宋"/>
          <w:color w:val="auto"/>
          <w:kern w:val="2"/>
          <w:sz w:val="30"/>
          <w:szCs w:val="30"/>
          <w:highlight w:val="none"/>
          <w:lang w:val="en-US" w:eastAsia="zh-Hans" w:bidi="ar-SA"/>
        </w:rPr>
        <w:t>人</w:t>
      </w:r>
      <w:r>
        <w:rPr>
          <w:rFonts w:hint="eastAsia" w:ascii="仿宋" w:hAnsi="仿宋" w:eastAsia="仿宋" w:cs="仿宋"/>
          <w:color w:val="auto"/>
          <w:kern w:val="2"/>
          <w:sz w:val="30"/>
          <w:szCs w:val="30"/>
          <w:highlight w:val="none"/>
          <w:lang w:val="en-US" w:eastAsia="zh-CN" w:bidi="ar-SA"/>
        </w:rPr>
        <w:t>获</w:t>
      </w:r>
      <w:r>
        <w:rPr>
          <w:rFonts w:hint="eastAsia" w:ascii="仿宋" w:hAnsi="仿宋" w:eastAsia="仿宋" w:cs="仿宋"/>
          <w:color w:val="auto"/>
          <w:kern w:val="2"/>
          <w:sz w:val="30"/>
          <w:szCs w:val="30"/>
          <w:highlight w:val="none"/>
          <w:lang w:val="en-US" w:eastAsia="zh-Hans" w:bidi="ar-SA"/>
        </w:rPr>
        <w:t>评副教授</w:t>
      </w:r>
      <w:r>
        <w:rPr>
          <w:rFonts w:hint="eastAsia" w:ascii="仿宋" w:hAnsi="仿宋" w:eastAsia="仿宋" w:cs="仿宋"/>
          <w:color w:val="auto"/>
          <w:kern w:val="2"/>
          <w:sz w:val="30"/>
          <w:szCs w:val="30"/>
          <w:highlight w:val="none"/>
          <w:lang w:val="en-US" w:eastAsia="zh-CN" w:bidi="ar-SA"/>
        </w:rPr>
        <w:t>（孙威、周洁璇、张天明）</w:t>
      </w:r>
      <w:r>
        <w:rPr>
          <w:rFonts w:hint="eastAsia" w:ascii="仿宋" w:hAnsi="仿宋" w:eastAsia="仿宋" w:cs="仿宋"/>
          <w:color w:val="auto"/>
          <w:kern w:val="2"/>
          <w:sz w:val="30"/>
          <w:szCs w:val="30"/>
          <w:highlight w:val="none"/>
          <w:lang w:val="en-US" w:eastAsia="zh-Hans" w:bidi="ar-SA"/>
        </w:rPr>
        <w:t>,</w:t>
      </w:r>
      <w:r>
        <w:rPr>
          <w:rFonts w:hint="eastAsia" w:ascii="仿宋" w:hAnsi="仿宋" w:eastAsia="仿宋" w:cs="仿宋"/>
          <w:color w:val="auto"/>
          <w:kern w:val="2"/>
          <w:sz w:val="30"/>
          <w:szCs w:val="30"/>
          <w:highlight w:val="none"/>
          <w:lang w:val="en-US" w:eastAsia="zh-CN" w:bidi="ar-SA"/>
        </w:rPr>
        <w:t>1</w:t>
      </w:r>
      <w:r>
        <w:rPr>
          <w:rFonts w:hint="eastAsia" w:ascii="仿宋" w:hAnsi="仿宋" w:eastAsia="仿宋" w:cs="仿宋"/>
          <w:color w:val="auto"/>
          <w:kern w:val="2"/>
          <w:sz w:val="30"/>
          <w:szCs w:val="30"/>
          <w:highlight w:val="none"/>
          <w:lang w:val="en-US" w:eastAsia="zh-Hans" w:bidi="ar-SA"/>
        </w:rPr>
        <w:t>人</w:t>
      </w:r>
      <w:r>
        <w:rPr>
          <w:rFonts w:hint="eastAsia" w:ascii="仿宋" w:hAnsi="仿宋" w:eastAsia="仿宋" w:cs="仿宋"/>
          <w:color w:val="auto"/>
          <w:kern w:val="2"/>
          <w:sz w:val="30"/>
          <w:szCs w:val="30"/>
          <w:highlight w:val="none"/>
          <w:lang w:val="en-US" w:eastAsia="zh-CN" w:bidi="ar-SA"/>
        </w:rPr>
        <w:t>获评讲师（吴纪昊），1人获评助理研究员（孙晓慧）</w:t>
      </w:r>
      <w:r>
        <w:rPr>
          <w:rFonts w:hint="eastAsia" w:ascii="仿宋" w:hAnsi="仿宋" w:eastAsia="仿宋" w:cs="仿宋"/>
          <w:color w:val="auto"/>
          <w:kern w:val="2"/>
          <w:sz w:val="30"/>
          <w:szCs w:val="30"/>
          <w:highlight w:val="none"/>
          <w:lang w:val="en-US" w:eastAsia="zh-Hans" w:bidi="ar-SA"/>
        </w:rPr>
        <w:t>。</w:t>
      </w:r>
    </w:p>
    <w:p w14:paraId="64498059">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ascii="仿宋" w:hAnsi="仿宋" w:eastAsia="仿宋" w:cs="仿宋"/>
          <w:color w:val="auto"/>
          <w:kern w:val="0"/>
          <w:sz w:val="30"/>
          <w:szCs w:val="30"/>
          <w:highlight w:val="none"/>
          <w:lang w:val="en-US" w:eastAsia="zh-CN"/>
        </w:rPr>
      </w:pPr>
      <w:r>
        <w:rPr>
          <w:rFonts w:hint="eastAsia" w:ascii="仿宋" w:hAnsi="仿宋" w:eastAsia="仿宋" w:cs="仿宋"/>
          <w:b/>
          <w:bCs/>
          <w:color w:val="auto"/>
          <w:kern w:val="0"/>
          <w:sz w:val="30"/>
          <w:szCs w:val="30"/>
          <w:highlight w:val="none"/>
          <w:lang w:val="en-US" w:eastAsia="zh-CN"/>
        </w:rPr>
        <w:t>四是召开高质量创新发展大会。</w:t>
      </w:r>
      <w:r>
        <w:rPr>
          <w:rFonts w:hint="eastAsia" w:ascii="仿宋" w:hAnsi="仿宋" w:eastAsia="仿宋" w:cs="仿宋"/>
          <w:color w:val="auto"/>
          <w:kern w:val="0"/>
          <w:sz w:val="30"/>
          <w:szCs w:val="30"/>
          <w:highlight w:val="none"/>
          <w:lang w:val="en-US" w:eastAsia="zh-CN"/>
        </w:rPr>
        <w:t>2025年全年，共召开教职工大会12次。依托商学院校友会，汇聚校友力量，服务地方发展。举办外财91（1）班、外财91（2）班和外贸95（2）班30周年返校创新发展座谈会，听取校友建言献策，接受企业捐赠累计150万元，有力助推了商学院事业高质量发展。</w:t>
      </w:r>
    </w:p>
    <w:p w14:paraId="36ACB932">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eastAsia="宋体"/>
          <w:lang w:eastAsia="zh-CN"/>
        </w:rPr>
      </w:pPr>
      <w:r>
        <w:rPr>
          <w:rFonts w:hint="eastAsia" w:ascii="仿宋" w:hAnsi="仿宋" w:eastAsia="仿宋" w:cs="仿宋"/>
          <w:b/>
          <w:bCs/>
          <w:color w:val="auto"/>
          <w:kern w:val="0"/>
          <w:sz w:val="30"/>
          <w:szCs w:val="30"/>
          <w:highlight w:val="none"/>
          <w:lang w:val="en-US" w:eastAsia="zh-CN"/>
        </w:rPr>
        <w:t>五是</w:t>
      </w:r>
      <w:r>
        <w:rPr>
          <w:rFonts w:hint="eastAsia" w:ascii="仿宋" w:hAnsi="仿宋" w:eastAsia="仿宋" w:cs="仿宋"/>
          <w:b/>
          <w:bCs/>
          <w:color w:val="auto"/>
          <w:sz w:val="30"/>
          <w:szCs w:val="30"/>
          <w:highlight w:val="none"/>
          <w:lang w:val="en-US" w:eastAsia="zh-CN"/>
        </w:rPr>
        <w:t>强化师德师风教育，引导教师回归本分。</w:t>
      </w:r>
      <w:r>
        <w:rPr>
          <w:rFonts w:hint="eastAsia" w:ascii="仿宋" w:hAnsi="仿宋" w:eastAsia="仿宋" w:cs="仿宋"/>
          <w:color w:val="auto"/>
          <w:sz w:val="30"/>
          <w:szCs w:val="30"/>
          <w:highlight w:val="none"/>
          <w:lang w:val="en-US" w:eastAsia="zh-CN"/>
        </w:rPr>
        <w:t>2025年，以师德师风教育为主题，召开12次全体教职工会议，深入开展师德师风建设月活动，组织学习《新时代高校教师职业行为十项准则》《教育部关于高校教师师德失范行为处理的指导意见》等上级规定，重点研读《中国共产党纪律处分条例》《事业单位工作人员处分规定》《盐城师范学院师德手册》等内容，用身边人身边事典型案例教育引导教师深刻理解和精准把握师德行为规范及失范处理办法，鼓舞教师自重、自省、自警、自励，切实将教书育人与自我修养融为一体，人人争做新时代社会主义建设的“四好”教师。</w:t>
      </w:r>
    </w:p>
    <w:p w14:paraId="7F295871">
      <w:pPr>
        <w:pStyle w:val="2"/>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602" w:firstLineChars="200"/>
        <w:jc w:val="both"/>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三、教学工作</w:t>
      </w:r>
    </w:p>
    <w:p w14:paraId="2F27E830">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ascii="仿宋" w:hAnsi="仿宋" w:eastAsia="仿宋" w:cs="仿宋"/>
          <w:color w:val="auto"/>
          <w:sz w:val="30"/>
          <w:szCs w:val="30"/>
          <w:highlight w:val="none"/>
          <w:lang w:eastAsia="zh-CN"/>
        </w:rPr>
      </w:pPr>
      <w:r>
        <w:rPr>
          <w:rFonts w:hint="eastAsia" w:ascii="仿宋" w:hAnsi="仿宋" w:eastAsia="仿宋" w:cs="仿宋"/>
          <w:b/>
          <w:bCs/>
          <w:color w:val="auto"/>
          <w:sz w:val="30"/>
          <w:szCs w:val="30"/>
          <w:highlight w:val="none"/>
        </w:rPr>
        <w:t>一是强化教学管理规范，筑牢教学质量根基</w:t>
      </w:r>
      <w:r>
        <w:rPr>
          <w:rFonts w:hint="eastAsia" w:ascii="仿宋" w:hAnsi="仿宋" w:eastAsia="仿宋" w:cs="仿宋"/>
          <w:b/>
          <w:bCs/>
          <w:color w:val="auto"/>
          <w:sz w:val="30"/>
          <w:szCs w:val="30"/>
          <w:highlight w:val="none"/>
          <w:lang w:eastAsia="zh-CN"/>
        </w:rPr>
        <w:t>。</w:t>
      </w:r>
      <w:r>
        <w:rPr>
          <w:rFonts w:hint="eastAsia" w:ascii="仿宋" w:hAnsi="仿宋" w:eastAsia="仿宋" w:cs="仿宋"/>
          <w:b w:val="0"/>
          <w:bCs w:val="0"/>
          <w:color w:val="auto"/>
          <w:sz w:val="30"/>
          <w:szCs w:val="30"/>
          <w:highlight w:val="none"/>
        </w:rPr>
        <w:t>学院以审核评估为契机，全面加强教学管理制度的建设、学习与执行，通过常态化检查与专项督导相结合，确保各项教学规范落到实处。</w:t>
      </w:r>
      <w:r>
        <w:rPr>
          <w:rFonts w:hint="eastAsia" w:ascii="仿宋" w:hAnsi="仿宋" w:eastAsia="仿宋" w:cs="仿宋"/>
          <w:b w:val="0"/>
          <w:bCs w:val="0"/>
          <w:color w:val="auto"/>
          <w:sz w:val="30"/>
          <w:szCs w:val="30"/>
          <w:highlight w:val="none"/>
          <w:lang w:val="en-US" w:eastAsia="zh-CN"/>
        </w:rPr>
        <w:t>持续推动“教学质量提升年”活动</w:t>
      </w:r>
      <w:r>
        <w:rPr>
          <w:rFonts w:hint="eastAsia" w:ascii="仿宋" w:hAnsi="仿宋" w:eastAsia="仿宋" w:cs="仿宋"/>
          <w:b w:val="0"/>
          <w:bCs w:val="0"/>
          <w:color w:val="auto"/>
          <w:sz w:val="30"/>
          <w:szCs w:val="30"/>
          <w:highlight w:val="none"/>
        </w:rPr>
        <w:t>，教师的教学投入与授课效果显著提升。深入开展“教风学风建设月”活动，教学秩序</w:t>
      </w:r>
      <w:r>
        <w:rPr>
          <w:rFonts w:hint="eastAsia" w:ascii="仿宋" w:hAnsi="仿宋" w:eastAsia="仿宋" w:cs="仿宋"/>
          <w:b w:val="0"/>
          <w:bCs w:val="0"/>
          <w:color w:val="auto"/>
          <w:sz w:val="30"/>
          <w:szCs w:val="30"/>
          <w:highlight w:val="none"/>
          <w:lang w:val="en-US" w:eastAsia="zh-CN"/>
        </w:rPr>
        <w:t>井然</w:t>
      </w:r>
      <w:r>
        <w:rPr>
          <w:rFonts w:hint="eastAsia" w:ascii="仿宋" w:hAnsi="仿宋" w:eastAsia="仿宋" w:cs="仿宋"/>
          <w:b w:val="0"/>
          <w:bCs w:val="0"/>
          <w:color w:val="auto"/>
          <w:sz w:val="30"/>
          <w:szCs w:val="30"/>
          <w:highlight w:val="none"/>
        </w:rPr>
        <w:t>，学习氛围浓厚。完成2021级学生毕业论文</w:t>
      </w:r>
      <w:r>
        <w:rPr>
          <w:rFonts w:hint="eastAsia" w:ascii="仿宋" w:hAnsi="仿宋" w:eastAsia="仿宋" w:cs="仿宋"/>
          <w:b w:val="0"/>
          <w:bCs w:val="0"/>
          <w:color w:val="auto"/>
          <w:sz w:val="30"/>
          <w:szCs w:val="30"/>
          <w:highlight w:val="none"/>
          <w:lang w:val="en-US" w:eastAsia="zh-CN"/>
        </w:rPr>
        <w:t>答辩、抽签工作</w:t>
      </w:r>
      <w:r>
        <w:rPr>
          <w:rFonts w:hint="eastAsia" w:ascii="仿宋" w:hAnsi="仿宋" w:eastAsia="仿宋" w:cs="仿宋"/>
          <w:b w:val="0"/>
          <w:bCs w:val="0"/>
          <w:color w:val="auto"/>
          <w:sz w:val="30"/>
          <w:szCs w:val="30"/>
          <w:highlight w:val="none"/>
        </w:rPr>
        <w:t>，学位授予率与教育部论文抽检合格率</w:t>
      </w:r>
      <w:r>
        <w:rPr>
          <w:rFonts w:hint="eastAsia" w:ascii="仿宋" w:hAnsi="仿宋" w:eastAsia="仿宋" w:cs="仿宋"/>
          <w:b w:val="0"/>
          <w:bCs w:val="0"/>
          <w:color w:val="auto"/>
          <w:sz w:val="30"/>
          <w:szCs w:val="30"/>
          <w:highlight w:val="none"/>
          <w:lang w:val="en-US" w:eastAsia="zh-CN"/>
        </w:rPr>
        <w:t>双提升</w:t>
      </w:r>
      <w:r>
        <w:rPr>
          <w:rFonts w:hint="eastAsia" w:ascii="仿宋" w:hAnsi="仿宋" w:eastAsia="仿宋" w:cs="仿宋"/>
          <w:b w:val="0"/>
          <w:bCs w:val="0"/>
          <w:color w:val="auto"/>
          <w:sz w:val="30"/>
          <w:szCs w:val="30"/>
          <w:highlight w:val="none"/>
        </w:rPr>
        <w:t>。教学档案实现了及时、完整、规范</w:t>
      </w:r>
      <w:r>
        <w:rPr>
          <w:rFonts w:hint="eastAsia" w:ascii="仿宋" w:hAnsi="仿宋" w:eastAsia="仿宋" w:cs="仿宋"/>
          <w:b w:val="0"/>
          <w:bCs w:val="0"/>
          <w:color w:val="auto"/>
          <w:sz w:val="30"/>
          <w:szCs w:val="30"/>
          <w:highlight w:val="none"/>
          <w:lang w:val="en-US" w:eastAsia="zh-CN"/>
        </w:rPr>
        <w:t>档</w:t>
      </w:r>
      <w:r>
        <w:rPr>
          <w:rFonts w:hint="eastAsia" w:ascii="仿宋" w:hAnsi="仿宋" w:eastAsia="仿宋" w:cs="仿宋"/>
          <w:b w:val="0"/>
          <w:bCs w:val="0"/>
          <w:color w:val="auto"/>
          <w:sz w:val="30"/>
          <w:szCs w:val="30"/>
          <w:highlight w:val="none"/>
        </w:rPr>
        <w:t>，为</w:t>
      </w:r>
      <w:r>
        <w:rPr>
          <w:rFonts w:hint="eastAsia" w:ascii="仿宋" w:hAnsi="仿宋" w:eastAsia="仿宋" w:cs="仿宋"/>
          <w:b w:val="0"/>
          <w:bCs w:val="0"/>
          <w:color w:val="auto"/>
          <w:sz w:val="30"/>
          <w:szCs w:val="30"/>
          <w:highlight w:val="none"/>
          <w:lang w:val="en-US" w:eastAsia="zh-CN"/>
        </w:rPr>
        <w:t>教育教学</w:t>
      </w:r>
      <w:r>
        <w:rPr>
          <w:rFonts w:hint="eastAsia" w:ascii="仿宋" w:hAnsi="仿宋" w:eastAsia="仿宋" w:cs="仿宋"/>
          <w:b w:val="0"/>
          <w:bCs w:val="0"/>
          <w:color w:val="auto"/>
          <w:sz w:val="30"/>
          <w:szCs w:val="30"/>
          <w:highlight w:val="none"/>
        </w:rPr>
        <w:t>审核评估顺利通过提供了坚实支撑。</w:t>
      </w:r>
    </w:p>
    <w:p w14:paraId="56D029C6">
      <w:pPr>
        <w:pStyle w:val="4"/>
        <w:ind w:firstLine="602" w:firstLineChars="200"/>
        <w:rPr>
          <w:rFonts w:hint="default" w:eastAsia="仿宋"/>
          <w:lang w:val="en-US" w:eastAsia="zh-CN"/>
        </w:rPr>
      </w:pPr>
      <w:r>
        <w:rPr>
          <w:rFonts w:hint="eastAsia" w:ascii="仿宋" w:hAnsi="仿宋" w:eastAsia="仿宋" w:cs="仿宋"/>
          <w:b/>
          <w:bCs/>
          <w:color w:val="auto"/>
          <w:sz w:val="30"/>
          <w:szCs w:val="30"/>
          <w:highlight w:val="none"/>
        </w:rPr>
        <w:t>二是</w:t>
      </w:r>
      <w:r>
        <w:rPr>
          <w:rFonts w:hint="eastAsia" w:ascii="仿宋" w:hAnsi="仿宋" w:eastAsia="仿宋" w:cs="仿宋"/>
          <w:b/>
          <w:bCs/>
          <w:color w:val="auto"/>
          <w:sz w:val="30"/>
          <w:szCs w:val="30"/>
          <w:highlight w:val="none"/>
          <w:lang w:val="en-US" w:eastAsia="zh-CN"/>
        </w:rPr>
        <w:t>持续</w:t>
      </w:r>
      <w:r>
        <w:rPr>
          <w:rFonts w:hint="eastAsia" w:ascii="仿宋" w:hAnsi="仿宋" w:eastAsia="仿宋" w:cs="仿宋"/>
          <w:b/>
          <w:bCs/>
          <w:color w:val="auto"/>
          <w:sz w:val="30"/>
          <w:szCs w:val="30"/>
          <w:highlight w:val="none"/>
        </w:rPr>
        <w:t>深化教学</w:t>
      </w:r>
      <w:r>
        <w:rPr>
          <w:rFonts w:hint="eastAsia" w:ascii="仿宋" w:hAnsi="仿宋" w:eastAsia="仿宋" w:cs="仿宋"/>
          <w:b/>
          <w:bCs/>
          <w:color w:val="auto"/>
          <w:sz w:val="30"/>
          <w:szCs w:val="30"/>
          <w:highlight w:val="none"/>
          <w:lang w:val="en-US" w:eastAsia="zh-CN"/>
        </w:rPr>
        <w:t>内涵建</w:t>
      </w:r>
      <w:r>
        <w:rPr>
          <w:rFonts w:hint="eastAsia" w:ascii="仿宋" w:hAnsi="仿宋" w:eastAsia="仿宋" w:cs="仿宋"/>
          <w:b/>
          <w:bCs/>
          <w:color w:val="auto"/>
          <w:sz w:val="30"/>
          <w:szCs w:val="30"/>
          <w:highlight w:val="none"/>
        </w:rPr>
        <w:t>设，取得系列标志性成果</w:t>
      </w:r>
      <w:r>
        <w:rPr>
          <w:rFonts w:hint="eastAsia" w:ascii="仿宋" w:hAnsi="仿宋" w:eastAsia="仿宋" w:cs="仿宋"/>
          <w:b/>
          <w:bCs/>
          <w:color w:val="auto"/>
          <w:sz w:val="30"/>
          <w:szCs w:val="30"/>
          <w:highlight w:val="none"/>
          <w:lang w:eastAsia="zh-CN"/>
        </w:rPr>
        <w:t>。</w:t>
      </w:r>
      <w:r>
        <w:rPr>
          <w:rFonts w:hint="eastAsia" w:ascii="仿宋" w:hAnsi="仿宋" w:eastAsia="仿宋" w:cs="仿宋"/>
          <w:b w:val="0"/>
          <w:bCs w:val="0"/>
          <w:color w:val="auto"/>
          <w:sz w:val="30"/>
          <w:szCs w:val="30"/>
          <w:highlight w:val="none"/>
        </w:rPr>
        <w:t>课程建设取得突破</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《战略管理》成功获批国家级一流本科课程。省级一流课程建设任务圆满完成，课程思政建设项目扎实推动，优质教学资源得以有效建设和共享。专业建设稳步推进</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聚焦数字经济等重点专业，加大投入，明确路径，专业内涵与特色持续增强。停招市场营销</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普本</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专业，进一步优化</w:t>
      </w:r>
      <w:r>
        <w:rPr>
          <w:rFonts w:hint="eastAsia" w:ascii="仿宋" w:hAnsi="仿宋" w:eastAsia="仿宋" w:cs="仿宋"/>
          <w:b w:val="0"/>
          <w:bCs w:val="0"/>
          <w:color w:val="auto"/>
          <w:sz w:val="30"/>
          <w:szCs w:val="30"/>
          <w:highlight w:val="none"/>
          <w:lang w:val="en-US" w:eastAsia="zh-CN"/>
        </w:rPr>
        <w:t>了</w:t>
      </w:r>
      <w:r>
        <w:rPr>
          <w:rFonts w:hint="eastAsia" w:ascii="仿宋" w:hAnsi="仿宋" w:eastAsia="仿宋" w:cs="仿宋"/>
          <w:b w:val="0"/>
          <w:bCs w:val="0"/>
          <w:color w:val="auto"/>
          <w:sz w:val="30"/>
          <w:szCs w:val="30"/>
          <w:highlight w:val="none"/>
        </w:rPr>
        <w:t>专业结构。</w:t>
      </w:r>
      <w:r>
        <w:rPr>
          <w:rFonts w:hint="eastAsia" w:ascii="仿宋" w:hAnsi="仿宋" w:eastAsia="仿宋" w:cs="仿宋"/>
          <w:b w:val="0"/>
          <w:bCs w:val="0"/>
          <w:color w:val="auto"/>
          <w:sz w:val="30"/>
          <w:szCs w:val="30"/>
          <w:highlight w:val="none"/>
          <w:lang w:val="en-US" w:eastAsia="zh-CN"/>
        </w:rPr>
        <w:t>持续推进</w:t>
      </w:r>
      <w:r>
        <w:rPr>
          <w:rFonts w:hint="eastAsia" w:ascii="仿宋" w:hAnsi="仿宋" w:eastAsia="仿宋" w:cs="仿宋"/>
          <w:b w:val="0"/>
          <w:bCs w:val="0"/>
          <w:color w:val="auto"/>
          <w:sz w:val="30"/>
          <w:szCs w:val="30"/>
          <w:highlight w:val="none"/>
        </w:rPr>
        <w:t>教学团队与基层组织建设</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基层教学组织活力进一步增强。教学团队培育效果明显，在江苏省教师教学创新大赛中荣获省级二等奖2项，展现了卓越的教学创新实力。教学改革持续深化</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加强对各级教改项目的过程管理，确保研究实效，教学改革的深度与广度得到拓展</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获校级教学成果奖特等奖1项</w:t>
      </w:r>
      <w:r>
        <w:rPr>
          <w:rFonts w:hint="eastAsia" w:ascii="仿宋" w:hAnsi="仿宋" w:eastAsia="仿宋" w:cs="仿宋"/>
          <w:b w:val="0"/>
          <w:bCs w:val="0"/>
          <w:color w:val="auto"/>
          <w:sz w:val="30"/>
          <w:szCs w:val="30"/>
          <w:highlight w:val="none"/>
          <w:lang w:eastAsia="zh-CN"/>
        </w:rPr>
        <w:t>。</w:t>
      </w:r>
    </w:p>
    <w:p w14:paraId="4DA431B9">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ascii="仿宋" w:hAnsi="仿宋" w:eastAsia="仿宋" w:cs="仿宋"/>
          <w:b w:val="0"/>
          <w:bCs w:val="0"/>
          <w:color w:val="auto"/>
          <w:sz w:val="30"/>
          <w:szCs w:val="30"/>
          <w:highlight w:val="none"/>
        </w:rPr>
      </w:pPr>
      <w:r>
        <w:rPr>
          <w:rFonts w:hint="eastAsia" w:ascii="仿宋" w:hAnsi="仿宋" w:eastAsia="仿宋" w:cs="仿宋"/>
          <w:b/>
          <w:bCs/>
          <w:color w:val="auto"/>
          <w:sz w:val="30"/>
          <w:szCs w:val="30"/>
          <w:highlight w:val="none"/>
          <w:lang w:val="en-US" w:eastAsia="zh-CN"/>
        </w:rPr>
        <w:t>三是</w:t>
      </w:r>
      <w:r>
        <w:rPr>
          <w:rFonts w:hint="eastAsia" w:ascii="仿宋" w:hAnsi="仿宋" w:eastAsia="仿宋" w:cs="仿宋"/>
          <w:b/>
          <w:bCs/>
          <w:color w:val="auto"/>
          <w:sz w:val="30"/>
          <w:szCs w:val="30"/>
          <w:highlight w:val="none"/>
        </w:rPr>
        <w:t>优化人才培养方案，凸显应用型培养特色。</w:t>
      </w:r>
      <w:r>
        <w:rPr>
          <w:rFonts w:hint="eastAsia" w:ascii="仿宋" w:hAnsi="仿宋" w:eastAsia="仿宋" w:cs="仿宋"/>
          <w:b w:val="0"/>
          <w:bCs w:val="0"/>
          <w:color w:val="auto"/>
          <w:sz w:val="30"/>
          <w:szCs w:val="30"/>
          <w:highlight w:val="none"/>
          <w:lang w:val="en-US" w:eastAsia="zh-CN"/>
        </w:rPr>
        <w:t>多次组织校内外专家、行业专家和企业家对</w:t>
      </w:r>
      <w:r>
        <w:rPr>
          <w:rFonts w:hint="eastAsia" w:ascii="仿宋" w:hAnsi="仿宋" w:eastAsia="仿宋" w:cs="仿宋"/>
          <w:b w:val="0"/>
          <w:bCs w:val="0"/>
          <w:color w:val="auto"/>
          <w:sz w:val="30"/>
          <w:szCs w:val="30"/>
          <w:highlight w:val="none"/>
        </w:rPr>
        <w:t>2025版人才培养方案</w:t>
      </w:r>
      <w:r>
        <w:rPr>
          <w:rFonts w:hint="eastAsia" w:ascii="仿宋" w:hAnsi="仿宋" w:eastAsia="仿宋" w:cs="仿宋"/>
          <w:b w:val="0"/>
          <w:bCs w:val="0"/>
          <w:color w:val="auto"/>
          <w:sz w:val="30"/>
          <w:szCs w:val="30"/>
          <w:highlight w:val="none"/>
          <w:lang w:val="en-US" w:eastAsia="zh-CN"/>
        </w:rPr>
        <w:t>进行论证</w:t>
      </w:r>
      <w:r>
        <w:rPr>
          <w:rFonts w:hint="eastAsia" w:ascii="仿宋" w:hAnsi="仿宋" w:eastAsia="仿宋" w:cs="仿宋"/>
          <w:b w:val="0"/>
          <w:bCs w:val="0"/>
          <w:color w:val="auto"/>
          <w:sz w:val="30"/>
          <w:szCs w:val="30"/>
          <w:highlight w:val="none"/>
        </w:rPr>
        <w:t>。</w:t>
      </w:r>
      <w:r>
        <w:rPr>
          <w:rFonts w:hint="eastAsia" w:ascii="仿宋" w:hAnsi="仿宋" w:eastAsia="仿宋" w:cs="仿宋"/>
          <w:b w:val="0"/>
          <w:bCs w:val="0"/>
          <w:color w:val="auto"/>
          <w:sz w:val="30"/>
          <w:szCs w:val="30"/>
          <w:highlight w:val="none"/>
          <w:lang w:val="en-US" w:eastAsia="zh-CN"/>
        </w:rPr>
        <w:t>人才培养</w:t>
      </w:r>
      <w:r>
        <w:rPr>
          <w:rFonts w:hint="eastAsia" w:ascii="仿宋" w:hAnsi="仿宋" w:eastAsia="仿宋" w:cs="仿宋"/>
          <w:b w:val="0"/>
          <w:bCs w:val="0"/>
          <w:color w:val="auto"/>
          <w:sz w:val="30"/>
          <w:szCs w:val="30"/>
          <w:highlight w:val="none"/>
        </w:rPr>
        <w:t>方案修订紧密结合审核评估专家意见与应用型办学定位，经过充分调研与论证，进一步优化了课程体系与实践教学体系。新版方案强化了产教融合、协同育人，促进了专业教育与通识教育、能力培养与职业标准的有机结合，</w:t>
      </w:r>
      <w:r>
        <w:rPr>
          <w:rFonts w:hint="eastAsia" w:ascii="仿宋" w:hAnsi="仿宋" w:eastAsia="仿宋" w:cs="仿宋"/>
          <w:b w:val="0"/>
          <w:bCs w:val="0"/>
          <w:color w:val="auto"/>
          <w:sz w:val="30"/>
          <w:szCs w:val="30"/>
          <w:highlight w:val="none"/>
          <w:lang w:val="en-US" w:eastAsia="zh-CN"/>
        </w:rPr>
        <w:t>增加了“人工智能+”素养的培养要求</w:t>
      </w:r>
      <w:r>
        <w:rPr>
          <w:rFonts w:hint="eastAsia" w:ascii="仿宋" w:hAnsi="仿宋" w:eastAsia="仿宋" w:cs="仿宋"/>
          <w:b w:val="0"/>
          <w:bCs w:val="0"/>
          <w:color w:val="auto"/>
          <w:sz w:val="30"/>
          <w:szCs w:val="30"/>
          <w:highlight w:val="none"/>
        </w:rPr>
        <w:t>，使人才培养更好地契合经济社会发展需求。</w:t>
      </w:r>
    </w:p>
    <w:p w14:paraId="42458D3A">
      <w:pPr>
        <w:pStyle w:val="11"/>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602" w:firstLineChars="200"/>
        <w:textAlignment w:val="auto"/>
        <w:outlineLvl w:val="9"/>
        <w:rPr>
          <w:rFonts w:hint="eastAsia" w:ascii="仿宋" w:hAnsi="仿宋" w:eastAsia="仿宋" w:cs="仿宋"/>
          <w:b w:val="0"/>
          <w:bCs w:val="0"/>
          <w:color w:val="auto"/>
          <w:sz w:val="30"/>
          <w:szCs w:val="30"/>
          <w:highlight w:val="none"/>
        </w:rPr>
      </w:pPr>
      <w:r>
        <w:rPr>
          <w:rFonts w:hint="eastAsia" w:ascii="仿宋" w:hAnsi="仿宋" w:eastAsia="仿宋" w:cs="仿宋"/>
          <w:b/>
          <w:bCs/>
          <w:color w:val="auto"/>
          <w:sz w:val="30"/>
          <w:szCs w:val="30"/>
          <w:highlight w:val="none"/>
          <w:lang w:val="en-US" w:eastAsia="zh-CN"/>
        </w:rPr>
        <w:t>四是</w:t>
      </w:r>
      <w:r>
        <w:rPr>
          <w:rFonts w:hint="eastAsia" w:ascii="仿宋" w:hAnsi="仿宋" w:eastAsia="仿宋" w:cs="仿宋"/>
          <w:b/>
          <w:bCs/>
          <w:color w:val="auto"/>
          <w:sz w:val="30"/>
          <w:szCs w:val="30"/>
          <w:highlight w:val="none"/>
        </w:rPr>
        <w:t>加强实践教学环节，提升学生综合能力。</w:t>
      </w:r>
      <w:r>
        <w:rPr>
          <w:rFonts w:hint="eastAsia" w:ascii="仿宋" w:hAnsi="仿宋" w:eastAsia="仿宋" w:cs="仿宋"/>
          <w:b w:val="0"/>
          <w:bCs w:val="0"/>
          <w:color w:val="auto"/>
          <w:sz w:val="30"/>
          <w:szCs w:val="30"/>
          <w:highlight w:val="none"/>
        </w:rPr>
        <w:t>实践教学体系持续完善。校内外实践基地建设与管理得到加强，新建</w:t>
      </w:r>
      <w:r>
        <w:rPr>
          <w:rFonts w:hint="eastAsia" w:ascii="仿宋" w:hAnsi="仿宋" w:eastAsia="仿宋" w:cs="仿宋"/>
          <w:b w:val="0"/>
          <w:bCs w:val="0"/>
          <w:color w:val="auto"/>
          <w:sz w:val="30"/>
          <w:szCs w:val="30"/>
          <w:highlight w:val="none"/>
          <w:lang w:val="en-US" w:eastAsia="zh-CN"/>
        </w:rPr>
        <w:t>智慧会计</w:t>
      </w:r>
      <w:r>
        <w:rPr>
          <w:rFonts w:hint="eastAsia" w:ascii="仿宋" w:hAnsi="仿宋" w:eastAsia="仿宋" w:cs="仿宋"/>
          <w:b w:val="0"/>
          <w:bCs w:val="0"/>
          <w:color w:val="auto"/>
          <w:sz w:val="30"/>
          <w:szCs w:val="30"/>
          <w:highlight w:val="none"/>
        </w:rPr>
        <w:t>实训平台有效运行。</w:t>
      </w:r>
      <w:r>
        <w:rPr>
          <w:rFonts w:hint="eastAsia" w:ascii="仿宋" w:hAnsi="仿宋" w:eastAsia="仿宋" w:cs="仿宋"/>
          <w:b w:val="0"/>
          <w:bCs w:val="0"/>
          <w:color w:val="auto"/>
          <w:sz w:val="30"/>
          <w:szCs w:val="30"/>
          <w:highlight w:val="none"/>
          <w:lang w:val="en-US" w:eastAsia="zh-CN"/>
        </w:rPr>
        <w:t>建立</w:t>
      </w:r>
      <w:r>
        <w:rPr>
          <w:rFonts w:hint="eastAsia" w:ascii="仿宋" w:hAnsi="仿宋" w:eastAsia="仿宋" w:cs="仿宋"/>
          <w:b w:val="0"/>
          <w:bCs w:val="0"/>
          <w:color w:val="auto"/>
          <w:sz w:val="30"/>
          <w:szCs w:val="30"/>
          <w:highlight w:val="none"/>
        </w:rPr>
        <w:t>健全实验教学质量监控体系，实验室受益面</w:t>
      </w:r>
      <w:r>
        <w:rPr>
          <w:rFonts w:hint="eastAsia" w:ascii="仿宋" w:hAnsi="仿宋" w:eastAsia="仿宋" w:cs="仿宋"/>
          <w:b w:val="0"/>
          <w:bCs w:val="0"/>
          <w:color w:val="auto"/>
          <w:sz w:val="30"/>
          <w:szCs w:val="30"/>
          <w:highlight w:val="none"/>
          <w:lang w:val="en-US" w:eastAsia="zh-CN"/>
        </w:rPr>
        <w:t>持续</w:t>
      </w:r>
      <w:r>
        <w:rPr>
          <w:rFonts w:hint="eastAsia" w:ascii="仿宋" w:hAnsi="仿宋" w:eastAsia="仿宋" w:cs="仿宋"/>
          <w:b w:val="0"/>
          <w:bCs w:val="0"/>
          <w:color w:val="auto"/>
          <w:sz w:val="30"/>
          <w:szCs w:val="30"/>
          <w:highlight w:val="none"/>
        </w:rPr>
        <w:t>扩大。2021级学生毕业实习各环节管理规范，实习任务顺利完成。学科与技能竞赛指导体系更加成熟，师生参与</w:t>
      </w:r>
      <w:r>
        <w:rPr>
          <w:rFonts w:hint="eastAsia" w:ascii="仿宋" w:hAnsi="仿宋" w:eastAsia="仿宋" w:cs="仿宋"/>
          <w:b w:val="0"/>
          <w:bCs w:val="0"/>
          <w:color w:val="auto"/>
          <w:sz w:val="30"/>
          <w:szCs w:val="30"/>
          <w:highlight w:val="none"/>
          <w:lang w:val="en-US" w:eastAsia="zh-CN"/>
        </w:rPr>
        <w:t>高层次</w:t>
      </w:r>
      <w:r>
        <w:rPr>
          <w:rFonts w:hint="eastAsia" w:ascii="仿宋" w:hAnsi="仿宋" w:eastAsia="仿宋" w:cs="仿宋"/>
          <w:b w:val="0"/>
          <w:bCs w:val="0"/>
          <w:color w:val="auto"/>
          <w:sz w:val="30"/>
          <w:szCs w:val="30"/>
          <w:highlight w:val="none"/>
        </w:rPr>
        <w:t>A类</w:t>
      </w:r>
      <w:r>
        <w:rPr>
          <w:rFonts w:hint="eastAsia" w:ascii="仿宋" w:hAnsi="仿宋" w:eastAsia="仿宋" w:cs="仿宋"/>
          <w:b w:val="0"/>
          <w:bCs w:val="0"/>
          <w:color w:val="auto"/>
          <w:sz w:val="30"/>
          <w:szCs w:val="30"/>
          <w:highlight w:val="none"/>
          <w:lang w:val="en-US" w:eastAsia="zh-CN"/>
        </w:rPr>
        <w:t>学科</w:t>
      </w:r>
      <w:r>
        <w:rPr>
          <w:rFonts w:hint="eastAsia" w:ascii="仿宋" w:hAnsi="仿宋" w:eastAsia="仿宋" w:cs="仿宋"/>
          <w:b w:val="0"/>
          <w:bCs w:val="0"/>
          <w:color w:val="auto"/>
          <w:sz w:val="30"/>
          <w:szCs w:val="30"/>
          <w:highlight w:val="none"/>
        </w:rPr>
        <w:t>竞赛的积极性高涨，</w:t>
      </w:r>
      <w:r>
        <w:rPr>
          <w:rFonts w:hint="eastAsia" w:ascii="仿宋" w:hAnsi="仿宋" w:eastAsia="仿宋" w:cs="仿宋"/>
          <w:b w:val="0"/>
          <w:bCs w:val="0"/>
          <w:color w:val="auto"/>
          <w:sz w:val="30"/>
          <w:szCs w:val="30"/>
          <w:highlight w:val="none"/>
          <w:lang w:val="en-US" w:eastAsia="zh-CN"/>
        </w:rPr>
        <w:t>全年组织5大学科竞赛30个赛项，开办校赛20余场，累计获得150项A类学科竞赛奖项。其中国家级特等奖2项，国家级一等奖16项、二等奖29项、三等奖23项，省部级奖项70余项。</w:t>
      </w:r>
      <w:r>
        <w:rPr>
          <w:rFonts w:hint="eastAsia" w:ascii="仿宋" w:hAnsi="仿宋" w:eastAsia="仿宋" w:cs="仿宋"/>
          <w:b w:val="0"/>
          <w:bCs w:val="0"/>
          <w:color w:val="auto"/>
          <w:sz w:val="30"/>
          <w:szCs w:val="30"/>
          <w:highlight w:val="none"/>
        </w:rPr>
        <w:t>竞明社团被学校评定为“十佳社团”。</w:t>
      </w:r>
    </w:p>
    <w:p w14:paraId="60499FD0">
      <w:pPr>
        <w:pStyle w:val="2"/>
        <w:numPr>
          <w:ilvl w:val="-1"/>
          <w:numId w:val="0"/>
        </w:numPr>
        <w:adjustRightInd w:val="0"/>
        <w:snapToGrid w:val="0"/>
        <w:spacing w:before="0" w:beforeAutospacing="0" w:after="0" w:afterAutospacing="0" w:line="560" w:lineRule="exact"/>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 xml:space="preserve">    四、</w:t>
      </w:r>
      <w:r>
        <w:rPr>
          <w:rFonts w:hint="eastAsia" w:ascii="仿宋" w:hAnsi="仿宋" w:eastAsia="仿宋" w:cs="仿宋"/>
          <w:color w:val="auto"/>
          <w:sz w:val="30"/>
          <w:szCs w:val="30"/>
          <w:highlight w:val="none"/>
        </w:rPr>
        <w:t>科研与学科建设工作</w:t>
      </w:r>
    </w:p>
    <w:p w14:paraId="7C71B4E6">
      <w:pPr>
        <w:numPr>
          <w:ilvl w:val="0"/>
          <w:numId w:val="0"/>
        </w:numPr>
        <w:rPr>
          <w:rFonts w:hint="eastAsia" w:ascii="仿宋" w:hAnsi="仿宋" w:eastAsia="仿宋" w:cs="仿宋"/>
          <w:color w:val="auto"/>
          <w:highlight w:val="none"/>
        </w:rPr>
      </w:pPr>
    </w:p>
    <w:p w14:paraId="6023B706">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outlineLvl w:val="9"/>
        <w:rPr>
          <w:rFonts w:hint="eastAsia" w:ascii="仿宋" w:hAnsi="仿宋" w:eastAsia="仿宋" w:cs="仿宋"/>
          <w:b w:val="0"/>
          <w:color w:val="auto"/>
          <w:sz w:val="30"/>
          <w:szCs w:val="30"/>
          <w:highlight w:val="none"/>
        </w:rPr>
      </w:pPr>
      <w:r>
        <w:rPr>
          <w:rFonts w:hint="eastAsia" w:ascii="仿宋" w:hAnsi="仿宋" w:eastAsia="仿宋" w:cs="仿宋"/>
          <w:b/>
          <w:bCs/>
          <w:color w:val="auto"/>
          <w:sz w:val="30"/>
          <w:szCs w:val="30"/>
          <w:highlight w:val="none"/>
        </w:rPr>
        <w:t>一是</w:t>
      </w:r>
      <w:r>
        <w:rPr>
          <w:rFonts w:hint="eastAsia" w:ascii="仿宋" w:hAnsi="仿宋" w:eastAsia="仿宋" w:cs="仿宋"/>
          <w:b/>
          <w:bCs/>
          <w:color w:val="auto"/>
          <w:sz w:val="30"/>
          <w:szCs w:val="30"/>
          <w:highlight w:val="none"/>
          <w:lang w:val="en-US" w:eastAsia="zh-CN"/>
        </w:rPr>
        <w:t>科研项目申报层次不断提升</w:t>
      </w:r>
      <w:r>
        <w:rPr>
          <w:rFonts w:hint="eastAsia" w:ascii="仿宋" w:hAnsi="仿宋" w:eastAsia="仿宋" w:cs="仿宋"/>
          <w:b/>
          <w:bCs/>
          <w:color w:val="auto"/>
          <w:sz w:val="30"/>
          <w:szCs w:val="30"/>
          <w:highlight w:val="none"/>
        </w:rPr>
        <w:t>。</w:t>
      </w:r>
      <w:r>
        <w:rPr>
          <w:rFonts w:hint="eastAsia" w:ascii="仿宋" w:hAnsi="仿宋" w:eastAsia="仿宋" w:cs="仿宋"/>
          <w:b w:val="0"/>
          <w:color w:val="auto"/>
          <w:sz w:val="30"/>
          <w:szCs w:val="30"/>
          <w:highlight w:val="none"/>
        </w:rPr>
        <w:t>引导教师“讲台上站得住，科研上拿得出”。动员以博士为主</w:t>
      </w:r>
      <w:r>
        <w:rPr>
          <w:rFonts w:hint="eastAsia" w:ascii="仿宋" w:hAnsi="仿宋" w:eastAsia="仿宋" w:cs="仿宋"/>
          <w:b w:val="0"/>
          <w:color w:val="auto"/>
          <w:sz w:val="30"/>
          <w:szCs w:val="30"/>
          <w:highlight w:val="none"/>
          <w:lang w:val="en-US" w:eastAsia="zh-CN"/>
        </w:rPr>
        <w:t>的青年</w:t>
      </w:r>
      <w:r>
        <w:rPr>
          <w:rFonts w:hint="eastAsia" w:ascii="仿宋" w:hAnsi="仿宋" w:eastAsia="仿宋" w:cs="仿宋"/>
          <w:b w:val="0"/>
          <w:color w:val="auto"/>
          <w:sz w:val="30"/>
          <w:szCs w:val="30"/>
          <w:highlight w:val="none"/>
        </w:rPr>
        <w:t>教师积极申报高层次科研项目，针对国家社科基金项目开展多轮</w:t>
      </w:r>
      <w:r>
        <w:rPr>
          <w:rFonts w:hint="eastAsia" w:ascii="仿宋" w:hAnsi="仿宋" w:eastAsia="仿宋" w:cs="仿宋"/>
          <w:b w:val="0"/>
          <w:color w:val="auto"/>
          <w:sz w:val="30"/>
          <w:szCs w:val="30"/>
          <w:highlight w:val="none"/>
          <w:lang w:val="en-US" w:eastAsia="zh-CN"/>
        </w:rPr>
        <w:t>次</w:t>
      </w:r>
      <w:r>
        <w:rPr>
          <w:rFonts w:hint="eastAsia" w:ascii="仿宋" w:hAnsi="仿宋" w:eastAsia="仿宋" w:cs="仿宋"/>
          <w:b w:val="0"/>
          <w:color w:val="auto"/>
          <w:sz w:val="30"/>
          <w:szCs w:val="30"/>
          <w:highlight w:val="none"/>
        </w:rPr>
        <w:t>论证。邀请北京师范大学唐任伍教授、云南财经大学钟昌标教授、南京航空航天大学周德群教授</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lang w:val="en-US" w:eastAsia="zh-CN"/>
        </w:rPr>
        <w:t>浙江工商大学陈衍泰副校长、南通大学原党委书记成长春教授、南京师范大学商学院院长白俊红教授等专家为申报人员进行</w:t>
      </w:r>
      <w:r>
        <w:rPr>
          <w:rFonts w:hint="eastAsia" w:ascii="仿宋" w:hAnsi="仿宋" w:eastAsia="仿宋" w:cs="仿宋"/>
          <w:b w:val="0"/>
          <w:color w:val="auto"/>
          <w:sz w:val="30"/>
          <w:szCs w:val="30"/>
          <w:highlight w:val="none"/>
        </w:rPr>
        <w:t>申报</w:t>
      </w:r>
      <w:r>
        <w:rPr>
          <w:rFonts w:hint="eastAsia" w:ascii="仿宋" w:hAnsi="仿宋" w:eastAsia="仿宋" w:cs="仿宋"/>
          <w:b w:val="0"/>
          <w:color w:val="auto"/>
          <w:sz w:val="30"/>
          <w:szCs w:val="30"/>
          <w:highlight w:val="none"/>
          <w:lang w:val="en-US" w:eastAsia="zh-CN"/>
        </w:rPr>
        <w:t>专题</w:t>
      </w:r>
      <w:r>
        <w:rPr>
          <w:rFonts w:hint="eastAsia" w:ascii="仿宋" w:hAnsi="仿宋" w:eastAsia="仿宋" w:cs="仿宋"/>
          <w:b w:val="0"/>
          <w:color w:val="auto"/>
          <w:sz w:val="30"/>
          <w:szCs w:val="30"/>
          <w:highlight w:val="none"/>
        </w:rPr>
        <w:t>辅导，</w:t>
      </w:r>
      <w:r>
        <w:rPr>
          <w:rFonts w:hint="eastAsia" w:ascii="仿宋" w:hAnsi="仿宋" w:eastAsia="仿宋" w:cs="仿宋"/>
          <w:b w:val="0"/>
          <w:color w:val="auto"/>
          <w:sz w:val="30"/>
          <w:szCs w:val="30"/>
          <w:highlight w:val="none"/>
          <w:lang w:val="en-US" w:eastAsia="zh-CN"/>
        </w:rPr>
        <w:t>全年10多</w:t>
      </w:r>
      <w:r>
        <w:rPr>
          <w:rFonts w:hint="eastAsia" w:ascii="仿宋" w:hAnsi="仿宋" w:eastAsia="仿宋" w:cs="仿宋"/>
          <w:b w:val="0"/>
          <w:color w:val="auto"/>
          <w:sz w:val="30"/>
          <w:szCs w:val="30"/>
          <w:highlight w:val="none"/>
        </w:rPr>
        <w:t>次邀请校内专家对申报书进行</w:t>
      </w:r>
      <w:r>
        <w:rPr>
          <w:rFonts w:hint="eastAsia" w:ascii="仿宋" w:hAnsi="仿宋" w:eastAsia="仿宋" w:cs="仿宋"/>
          <w:b w:val="0"/>
          <w:color w:val="auto"/>
          <w:sz w:val="30"/>
          <w:szCs w:val="30"/>
          <w:highlight w:val="none"/>
          <w:lang w:val="en-US" w:eastAsia="zh-CN"/>
        </w:rPr>
        <w:t>打磨、</w:t>
      </w:r>
      <w:r>
        <w:rPr>
          <w:rFonts w:hint="eastAsia" w:ascii="仿宋" w:hAnsi="仿宋" w:eastAsia="仿宋" w:cs="仿宋"/>
          <w:b w:val="0"/>
          <w:color w:val="auto"/>
          <w:sz w:val="30"/>
          <w:szCs w:val="30"/>
          <w:highlight w:val="none"/>
        </w:rPr>
        <w:t>论证，认真组织教师积极参加社科处举办的国家社科</w:t>
      </w:r>
      <w:r>
        <w:rPr>
          <w:rFonts w:hint="eastAsia" w:ascii="仿宋" w:hAnsi="仿宋" w:eastAsia="仿宋" w:cs="仿宋"/>
          <w:b w:val="0"/>
          <w:color w:val="auto"/>
          <w:sz w:val="30"/>
          <w:szCs w:val="30"/>
          <w:highlight w:val="none"/>
          <w:lang w:val="en-US" w:eastAsia="zh-CN"/>
        </w:rPr>
        <w:t>基金</w:t>
      </w:r>
      <w:r>
        <w:rPr>
          <w:rFonts w:hint="eastAsia" w:ascii="仿宋" w:hAnsi="仿宋" w:eastAsia="仿宋" w:cs="仿宋"/>
          <w:b w:val="0"/>
          <w:color w:val="auto"/>
          <w:sz w:val="30"/>
          <w:szCs w:val="30"/>
          <w:highlight w:val="none"/>
        </w:rPr>
        <w:t>和后期资助</w:t>
      </w:r>
      <w:r>
        <w:rPr>
          <w:rFonts w:hint="eastAsia" w:ascii="仿宋" w:hAnsi="仿宋" w:eastAsia="仿宋" w:cs="仿宋"/>
          <w:b w:val="0"/>
          <w:color w:val="auto"/>
          <w:sz w:val="30"/>
          <w:szCs w:val="30"/>
          <w:highlight w:val="none"/>
          <w:lang w:val="en-US" w:eastAsia="zh-CN"/>
        </w:rPr>
        <w:t>项目</w:t>
      </w:r>
      <w:r>
        <w:rPr>
          <w:rFonts w:hint="eastAsia" w:ascii="仿宋" w:hAnsi="仿宋" w:eastAsia="仿宋" w:cs="仿宋"/>
          <w:b w:val="0"/>
          <w:color w:val="auto"/>
          <w:sz w:val="30"/>
          <w:szCs w:val="30"/>
          <w:highlight w:val="none"/>
        </w:rPr>
        <w:t>培训讲座。分类分级分层储备科研项目。着力提升教师的整体科研水平，支撑学院的内涵式发展。学院9人通过2025年国家社科基金项目校内遴选，15人申报2026国家社科基金项目、分别有1人申报国家发展改革委发展战略和规划司以及国家数据局数字经济司2025年研究课题。获批2025年国家社科基金重点项目1项（易高峰）、江苏省社科基金重点项目1项（易高峰）、一般项目1项（孙威）、立项无资助1项（周坤），省软科学项目立项1项（郇恒飞），江苏省社科应用精品工程项目1项（孙益祥）</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sz w:val="30"/>
          <w:szCs w:val="30"/>
        </w:rPr>
        <w:t>江苏省高校哲社一般项目和思政专项各1项（于舒盈、孙晓慧）</w:t>
      </w:r>
      <w:r>
        <w:rPr>
          <w:rFonts w:hint="eastAsia" w:ascii="仿宋" w:hAnsi="仿宋" w:eastAsia="仿宋" w:cs="仿宋"/>
          <w:b w:val="0"/>
          <w:color w:val="auto"/>
          <w:sz w:val="30"/>
          <w:szCs w:val="30"/>
          <w:highlight w:val="none"/>
        </w:rPr>
        <w:t>。</w:t>
      </w:r>
    </w:p>
    <w:p w14:paraId="188133FB">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outlineLvl w:val="9"/>
        <w:rPr>
          <w:rFonts w:hint="eastAsia" w:ascii="仿宋" w:hAnsi="仿宋" w:eastAsia="仿宋" w:cs="仿宋"/>
          <w:b w:val="0"/>
          <w:color w:val="auto"/>
          <w:sz w:val="30"/>
          <w:szCs w:val="30"/>
          <w:highlight w:val="none"/>
        </w:rPr>
      </w:pPr>
      <w:r>
        <w:rPr>
          <w:rFonts w:hint="eastAsia" w:ascii="仿宋" w:hAnsi="仿宋" w:eastAsia="仿宋" w:cs="仿宋"/>
          <w:b/>
          <w:bCs/>
          <w:color w:val="auto"/>
          <w:sz w:val="30"/>
          <w:szCs w:val="30"/>
          <w:highlight w:val="none"/>
        </w:rPr>
        <w:t>二是科研素养提升工程有效实施。</w:t>
      </w:r>
      <w:r>
        <w:rPr>
          <w:rFonts w:hint="eastAsia" w:ascii="仿宋" w:hAnsi="仿宋" w:eastAsia="仿宋" w:cs="仿宋"/>
          <w:b w:val="0"/>
          <w:color w:val="auto"/>
          <w:sz w:val="30"/>
          <w:szCs w:val="30"/>
          <w:highlight w:val="none"/>
        </w:rPr>
        <w:t>抓团队建设机制，在“实”字上下功夫。构建教师进课题、课题进团队、团队进学科的团队建设全链条机制，新进青年博士全部进入现有的四个科研团队，为青年博士做好教学科研创造更好环境和条件。积极参加2025年省科研基地的申报工作。</w:t>
      </w:r>
      <w:r>
        <w:rPr>
          <w:rFonts w:hint="eastAsia" w:ascii="仿宋" w:hAnsi="仿宋" w:eastAsia="仿宋" w:cs="仿宋"/>
          <w:b w:val="0"/>
          <w:color w:val="auto"/>
          <w:sz w:val="30"/>
          <w:szCs w:val="30"/>
          <w:highlight w:val="none"/>
          <w:lang w:val="en-US" w:eastAsia="zh-CN"/>
        </w:rPr>
        <w:t>3</w:t>
      </w:r>
      <w:r>
        <w:rPr>
          <w:rFonts w:hint="eastAsia" w:ascii="仿宋" w:hAnsi="仿宋" w:eastAsia="仿宋" w:cs="仿宋"/>
          <w:b w:val="0"/>
          <w:color w:val="auto"/>
          <w:sz w:val="30"/>
          <w:szCs w:val="30"/>
          <w:highlight w:val="none"/>
        </w:rPr>
        <w:t>名教师参加第十二届全国师范大学经济与管理学院（商学院）院长论坛暨第七届全国师范大学经管学科青年学者学术论坛，</w:t>
      </w:r>
      <w:r>
        <w:rPr>
          <w:rFonts w:hint="eastAsia" w:ascii="仿宋" w:hAnsi="仿宋" w:eastAsia="仿宋" w:cs="仿宋"/>
          <w:b w:val="0"/>
          <w:color w:val="auto"/>
          <w:sz w:val="30"/>
          <w:szCs w:val="30"/>
          <w:highlight w:val="none"/>
          <w:lang w:val="en-US" w:eastAsia="zh-CN"/>
        </w:rPr>
        <w:t>获</w:t>
      </w:r>
      <w:r>
        <w:rPr>
          <w:rFonts w:hint="eastAsia" w:ascii="仿宋" w:hAnsi="仿宋" w:eastAsia="仿宋" w:cs="仿宋"/>
          <w:b w:val="0"/>
          <w:color w:val="auto"/>
          <w:sz w:val="30"/>
          <w:szCs w:val="30"/>
          <w:highlight w:val="none"/>
        </w:rPr>
        <w:t>评为会议</w:t>
      </w:r>
      <w:r>
        <w:rPr>
          <w:rFonts w:hint="eastAsia" w:ascii="仿宋" w:hAnsi="仿宋" w:eastAsia="仿宋" w:cs="仿宋"/>
          <w:b w:val="0"/>
          <w:color w:val="auto"/>
          <w:sz w:val="30"/>
          <w:szCs w:val="30"/>
          <w:highlight w:val="none"/>
          <w:lang w:val="en-US" w:eastAsia="zh-CN"/>
        </w:rPr>
        <w:t>A++等</w:t>
      </w:r>
      <w:r>
        <w:rPr>
          <w:rFonts w:hint="eastAsia" w:ascii="仿宋" w:hAnsi="仿宋" w:eastAsia="仿宋" w:cs="仿宋"/>
          <w:b w:val="0"/>
          <w:color w:val="auto"/>
          <w:sz w:val="30"/>
          <w:szCs w:val="30"/>
          <w:highlight w:val="none"/>
        </w:rPr>
        <w:t>论文。抓能力提升机制，在“深”字上下功夫。2025年学院邀请浙江工商大学学术评价与科技统计研究院院长俞立平教授做题为《人文社科项目与论文写作—如何从统计数据中找灵感写》的学术报告，发动全院老师积极撰写论文，召开青年教师科研能力提升交流会。邀请王智茂和杜亚楠两位博士分享CSSCI和SSCI论文写作与发表经验。商学院（数字经济学院）获得第十八届江苏省哲学社会科学优秀成果一等奖（易高峰）。发表高质量论文</w:t>
      </w:r>
      <w:r>
        <w:rPr>
          <w:rFonts w:hint="eastAsia" w:ascii="仿宋" w:hAnsi="仿宋" w:eastAsia="仿宋" w:cs="仿宋"/>
          <w:b w:val="0"/>
          <w:color w:val="auto"/>
          <w:sz w:val="30"/>
          <w:szCs w:val="30"/>
          <w:highlight w:val="none"/>
          <w:lang w:val="en-US" w:eastAsia="zh-CN"/>
        </w:rPr>
        <w:t>16</w:t>
      </w:r>
      <w:r>
        <w:rPr>
          <w:rFonts w:hint="eastAsia" w:ascii="仿宋" w:hAnsi="仿宋" w:eastAsia="仿宋" w:cs="仿宋"/>
          <w:b w:val="0"/>
          <w:color w:val="auto"/>
          <w:sz w:val="30"/>
          <w:szCs w:val="30"/>
          <w:highlight w:val="none"/>
        </w:rPr>
        <w:t xml:space="preserve">篇，其中CSSCI </w:t>
      </w:r>
      <w:r>
        <w:rPr>
          <w:rFonts w:hint="eastAsia" w:ascii="仿宋" w:hAnsi="仿宋" w:eastAsia="仿宋" w:cs="仿宋"/>
          <w:b w:val="0"/>
          <w:color w:val="auto"/>
          <w:sz w:val="30"/>
          <w:szCs w:val="30"/>
          <w:highlight w:val="none"/>
          <w:lang w:val="en-US" w:eastAsia="zh-CN"/>
        </w:rPr>
        <w:t>5</w:t>
      </w:r>
      <w:r>
        <w:rPr>
          <w:rFonts w:hint="eastAsia" w:ascii="仿宋" w:hAnsi="仿宋" w:eastAsia="仿宋" w:cs="仿宋"/>
          <w:b w:val="0"/>
          <w:color w:val="auto"/>
          <w:sz w:val="30"/>
          <w:szCs w:val="30"/>
          <w:highlight w:val="none"/>
        </w:rPr>
        <w:t>篇（黄利秀、王智茂、易高峰</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lang w:val="en-US" w:eastAsia="zh-CN"/>
        </w:rPr>
        <w:t>包振山</w:t>
      </w:r>
      <w:r>
        <w:rPr>
          <w:rFonts w:hint="eastAsia" w:ascii="仿宋" w:hAnsi="仿宋" w:eastAsia="仿宋" w:cs="仿宋"/>
          <w:b w:val="0"/>
          <w:color w:val="auto"/>
          <w:sz w:val="30"/>
          <w:szCs w:val="30"/>
          <w:highlight w:val="none"/>
        </w:rPr>
        <w:t>）、北大核心</w:t>
      </w:r>
      <w:r>
        <w:rPr>
          <w:rFonts w:hint="eastAsia" w:ascii="仿宋" w:hAnsi="仿宋" w:eastAsia="仿宋" w:cs="仿宋"/>
          <w:b w:val="0"/>
          <w:color w:val="auto"/>
          <w:sz w:val="30"/>
          <w:szCs w:val="30"/>
          <w:highlight w:val="none"/>
          <w:lang w:val="en-US" w:eastAsia="zh-CN"/>
        </w:rPr>
        <w:t>3</w:t>
      </w:r>
      <w:r>
        <w:rPr>
          <w:rFonts w:hint="eastAsia" w:ascii="仿宋" w:hAnsi="仿宋" w:eastAsia="仿宋" w:cs="仿宋"/>
          <w:b w:val="0"/>
          <w:color w:val="auto"/>
          <w:sz w:val="30"/>
          <w:szCs w:val="30"/>
          <w:highlight w:val="none"/>
        </w:rPr>
        <w:t>篇（姚晓蓉、刘吉双</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lang w:val="en-US" w:eastAsia="zh-CN"/>
        </w:rPr>
        <w:t>龚艳</w:t>
      </w:r>
      <w:r>
        <w:rPr>
          <w:rFonts w:hint="eastAsia" w:ascii="仿宋" w:hAnsi="仿宋" w:eastAsia="仿宋" w:cs="仿宋"/>
          <w:b w:val="0"/>
          <w:color w:val="auto"/>
          <w:sz w:val="30"/>
          <w:szCs w:val="30"/>
          <w:highlight w:val="none"/>
        </w:rPr>
        <w:t>）、SSCI</w:t>
      </w:r>
      <w:r>
        <w:rPr>
          <w:rFonts w:hint="eastAsia" w:ascii="仿宋" w:hAnsi="仿宋" w:eastAsia="仿宋" w:cs="仿宋"/>
          <w:b w:val="0"/>
          <w:color w:val="auto"/>
          <w:sz w:val="30"/>
          <w:szCs w:val="30"/>
          <w:highlight w:val="none"/>
          <w:lang w:val="en-US" w:eastAsia="zh-CN"/>
        </w:rPr>
        <w:t xml:space="preserve"> 6</w:t>
      </w:r>
      <w:r>
        <w:rPr>
          <w:rFonts w:hint="eastAsia" w:ascii="仿宋" w:hAnsi="仿宋" w:eastAsia="仿宋" w:cs="仿宋"/>
          <w:b w:val="0"/>
          <w:color w:val="auto"/>
          <w:sz w:val="30"/>
          <w:szCs w:val="30"/>
          <w:highlight w:val="none"/>
        </w:rPr>
        <w:t>篇（杜亚楠、王黎、林小兰</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lang w:val="en-US" w:eastAsia="zh-CN"/>
        </w:rPr>
        <w:t>丁烨旻</w:t>
      </w:r>
      <w:r>
        <w:rPr>
          <w:rFonts w:hint="eastAsia" w:ascii="仿宋" w:hAnsi="仿宋" w:eastAsia="仿宋" w:cs="仿宋"/>
          <w:b w:val="0"/>
          <w:color w:val="auto"/>
          <w:sz w:val="30"/>
          <w:szCs w:val="30"/>
          <w:highlight w:val="none"/>
        </w:rPr>
        <w:t>），权威出版社出版专著1部（季健）。</w:t>
      </w:r>
    </w:p>
    <w:p w14:paraId="391D4CB4">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outlineLvl w:val="9"/>
        <w:rPr>
          <w:rFonts w:hint="eastAsia" w:ascii="仿宋" w:hAnsi="仿宋" w:eastAsia="仿宋" w:cs="仿宋"/>
          <w:b w:val="0"/>
          <w:color w:val="auto"/>
          <w:sz w:val="30"/>
          <w:szCs w:val="30"/>
          <w:highlight w:val="none"/>
        </w:rPr>
      </w:pPr>
      <w:r>
        <w:rPr>
          <w:rFonts w:hint="eastAsia" w:ascii="仿宋" w:hAnsi="仿宋" w:eastAsia="仿宋" w:cs="仿宋"/>
          <w:b/>
          <w:bCs/>
          <w:color w:val="auto"/>
          <w:sz w:val="30"/>
          <w:szCs w:val="30"/>
          <w:highlight w:val="none"/>
        </w:rPr>
        <w:t>三是科研成果转化能力不断增强。</w:t>
      </w:r>
      <w:r>
        <w:rPr>
          <w:rFonts w:hint="eastAsia" w:ascii="仿宋" w:hAnsi="仿宋" w:eastAsia="仿宋" w:cs="仿宋"/>
          <w:b w:val="0"/>
          <w:color w:val="auto"/>
          <w:sz w:val="30"/>
          <w:szCs w:val="30"/>
          <w:highlight w:val="none"/>
        </w:rPr>
        <w:t>把“智库建设”作为提质增效的第一关键。围绕“发展数字经济”“科技创新和产业创新深度融合”等战略，集聚学院优质资源，创建我院智库体系。与盐城市台办共建盐城市盐台融合发展研究中心，加挂“江苏省台湾研究中心研究基地“牌子”。继续发挥1个省级智库和5个市级智库的平台影响力，在更多领域出高质量决策咨询报告。召开了盐城市合作共建智库工作座谈会暨新一轮合作共建签约仪式，中韩（盐城）产业园创新发展研究院为重点培育智库。深入推进校地融合。积极筹备召开数字经济产学研联盟，通过“政、校、行、企、研”多方合作，构建资源共享、优势互补的协同创新平台，推动数字经济领域产学研深度融合，学院服务地方经济建设，</w:t>
      </w:r>
      <w:bookmarkStart w:id="0" w:name="OLE_LINK1"/>
      <w:r>
        <w:rPr>
          <w:rFonts w:hint="eastAsia" w:ascii="仿宋" w:hAnsi="仿宋" w:eastAsia="仿宋" w:cs="仿宋"/>
          <w:b w:val="0"/>
          <w:color w:val="auto"/>
          <w:sz w:val="30"/>
          <w:szCs w:val="30"/>
          <w:highlight w:val="none"/>
        </w:rPr>
        <w:t>发表了22篇高质量研究成果，省级领导批示1份，市级领导批示2份。横向课题到账金额433.65万元，完成规定任务。</w:t>
      </w:r>
    </w:p>
    <w:bookmarkEnd w:id="0"/>
    <w:p w14:paraId="4E9094BF">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outlineLvl w:val="9"/>
        <w:rPr>
          <w:rFonts w:hint="eastAsia" w:ascii="仿宋" w:hAnsi="仿宋" w:eastAsia="仿宋" w:cs="仿宋"/>
          <w:b w:val="0"/>
          <w:color w:val="auto"/>
          <w:sz w:val="30"/>
          <w:szCs w:val="30"/>
          <w:highlight w:val="none"/>
        </w:rPr>
      </w:pPr>
      <w:r>
        <w:rPr>
          <w:rFonts w:hint="eastAsia" w:ascii="仿宋" w:hAnsi="仿宋" w:eastAsia="仿宋" w:cs="仿宋"/>
          <w:b/>
          <w:bCs/>
          <w:color w:val="auto"/>
          <w:sz w:val="30"/>
          <w:szCs w:val="30"/>
          <w:highlight w:val="none"/>
        </w:rPr>
        <w:t>四是加大学科建设力度。</w:t>
      </w:r>
      <w:r>
        <w:rPr>
          <w:rFonts w:hint="eastAsia" w:ascii="仿宋" w:hAnsi="仿宋" w:eastAsia="仿宋" w:cs="仿宋"/>
          <w:b w:val="0"/>
          <w:color w:val="auto"/>
          <w:sz w:val="30"/>
          <w:szCs w:val="30"/>
          <w:highlight w:val="none"/>
        </w:rPr>
        <w:t>主动对接国家战略与区域需求。调整学科专业结构，重点发展与区域经济紧密结合的学科方向。瞄准盐城“5+2”新兴产业、23条重点产业链和未来产业三年行动计划，积极推动商科传统专业与AI技术、涉海专业等学科交叉，构建智慧海洋经济研究方向；聚焦园区经济和企业成本控制与价值链优化，打造智慧会计研究方向；抓住盐城争创绿色低碳示范区的战略机遇期，开设绿色供应链与低碳技术管理研究方向，为财务会计、电子商务、物流管理等传统专业注入新活力</w:t>
      </w:r>
      <w:bookmarkStart w:id="1" w:name="OLE_LINK21"/>
      <w:r>
        <w:rPr>
          <w:rFonts w:hint="eastAsia" w:ascii="仿宋" w:hAnsi="仿宋" w:eastAsia="仿宋" w:cs="仿宋"/>
          <w:b w:val="0"/>
          <w:color w:val="auto"/>
          <w:sz w:val="30"/>
          <w:szCs w:val="30"/>
          <w:highlight w:val="none"/>
          <w:lang w:eastAsia="zh-CN"/>
        </w:rPr>
        <w:t>。</w:t>
      </w:r>
      <w:r>
        <w:rPr>
          <w:rFonts w:hint="eastAsia" w:ascii="仿宋" w:hAnsi="仿宋" w:eastAsia="仿宋" w:cs="仿宋"/>
          <w:b w:val="0"/>
          <w:i w:val="0"/>
          <w:iCs w:val="0"/>
          <w:caps w:val="0"/>
          <w:color w:val="auto"/>
          <w:spacing w:val="0"/>
          <w:sz w:val="30"/>
          <w:szCs w:val="30"/>
          <w:highlight w:val="none"/>
          <w:shd w:val="clear" w:fill="auto"/>
          <w:lang w:val="en-US"/>
        </w:rPr>
        <w:t>12</w:t>
      </w:r>
      <w:r>
        <w:rPr>
          <w:rFonts w:hint="eastAsia" w:ascii="仿宋" w:hAnsi="仿宋" w:eastAsia="仿宋" w:cs="仿宋"/>
          <w:b w:val="0"/>
          <w:i w:val="0"/>
          <w:iCs w:val="0"/>
          <w:caps w:val="0"/>
          <w:color w:val="auto"/>
          <w:spacing w:val="0"/>
          <w:sz w:val="30"/>
          <w:szCs w:val="30"/>
          <w:highlight w:val="none"/>
          <w:shd w:val="clear" w:fill="auto"/>
        </w:rPr>
        <w:t>月</w:t>
      </w:r>
      <w:r>
        <w:rPr>
          <w:rFonts w:hint="eastAsia" w:ascii="仿宋" w:hAnsi="仿宋" w:eastAsia="仿宋" w:cs="仿宋"/>
          <w:b w:val="0"/>
          <w:i w:val="0"/>
          <w:iCs w:val="0"/>
          <w:caps w:val="0"/>
          <w:color w:val="auto"/>
          <w:spacing w:val="0"/>
          <w:sz w:val="30"/>
          <w:szCs w:val="30"/>
          <w:highlight w:val="none"/>
          <w:shd w:val="clear" w:fill="auto"/>
          <w:lang w:val="en-US"/>
        </w:rPr>
        <w:t>20</w:t>
      </w:r>
      <w:r>
        <w:rPr>
          <w:rFonts w:hint="eastAsia" w:ascii="仿宋" w:hAnsi="仿宋" w:eastAsia="仿宋" w:cs="仿宋"/>
          <w:b w:val="0"/>
          <w:i w:val="0"/>
          <w:iCs w:val="0"/>
          <w:caps w:val="0"/>
          <w:color w:val="auto"/>
          <w:spacing w:val="0"/>
          <w:sz w:val="30"/>
          <w:szCs w:val="30"/>
          <w:highlight w:val="none"/>
          <w:shd w:val="clear" w:fill="auto"/>
        </w:rPr>
        <w:t>日，</w:t>
      </w:r>
      <w:r>
        <w:rPr>
          <w:rFonts w:hint="eastAsia" w:ascii="仿宋" w:hAnsi="仿宋" w:eastAsia="仿宋" w:cs="仿宋"/>
          <w:b w:val="0"/>
          <w:i w:val="0"/>
          <w:iCs w:val="0"/>
          <w:caps w:val="0"/>
          <w:color w:val="auto"/>
          <w:spacing w:val="0"/>
          <w:sz w:val="30"/>
          <w:szCs w:val="30"/>
          <w:highlight w:val="none"/>
          <w:shd w:val="clear" w:fill="auto"/>
          <w:lang w:val="en-US"/>
        </w:rPr>
        <w:t>“</w:t>
      </w:r>
      <w:r>
        <w:rPr>
          <w:rFonts w:hint="eastAsia" w:ascii="仿宋" w:hAnsi="仿宋" w:eastAsia="仿宋" w:cs="仿宋"/>
          <w:b w:val="0"/>
          <w:i w:val="0"/>
          <w:iCs w:val="0"/>
          <w:caps w:val="0"/>
          <w:color w:val="auto"/>
          <w:spacing w:val="0"/>
          <w:sz w:val="30"/>
          <w:szCs w:val="30"/>
          <w:highlight w:val="none"/>
          <w:shd w:val="clear" w:fill="auto"/>
        </w:rPr>
        <w:t>数字经济政产学研合作论坛暨首届经管学科青年学者学术论坛</w:t>
      </w:r>
      <w:r>
        <w:rPr>
          <w:rFonts w:hint="eastAsia" w:ascii="仿宋" w:hAnsi="仿宋" w:eastAsia="仿宋" w:cs="仿宋"/>
          <w:b w:val="0"/>
          <w:i w:val="0"/>
          <w:iCs w:val="0"/>
          <w:caps w:val="0"/>
          <w:color w:val="auto"/>
          <w:spacing w:val="0"/>
          <w:sz w:val="30"/>
          <w:szCs w:val="30"/>
          <w:highlight w:val="none"/>
          <w:shd w:val="clear" w:fill="auto"/>
          <w:lang w:val="en-US"/>
        </w:rPr>
        <w:t>”</w:t>
      </w:r>
      <w:r>
        <w:rPr>
          <w:rFonts w:hint="eastAsia" w:ascii="仿宋" w:hAnsi="仿宋" w:eastAsia="仿宋" w:cs="仿宋"/>
          <w:b w:val="0"/>
          <w:i w:val="0"/>
          <w:iCs w:val="0"/>
          <w:caps w:val="0"/>
          <w:color w:val="auto"/>
          <w:spacing w:val="0"/>
          <w:sz w:val="30"/>
          <w:szCs w:val="30"/>
          <w:highlight w:val="none"/>
          <w:shd w:val="clear" w:fill="auto"/>
        </w:rPr>
        <w:t>在</w:t>
      </w:r>
      <w:r>
        <w:rPr>
          <w:rFonts w:hint="eastAsia" w:ascii="仿宋" w:hAnsi="仿宋" w:eastAsia="仿宋" w:cs="仿宋"/>
          <w:b w:val="0"/>
          <w:i w:val="0"/>
          <w:iCs w:val="0"/>
          <w:caps w:val="0"/>
          <w:color w:val="auto"/>
          <w:spacing w:val="0"/>
          <w:sz w:val="30"/>
          <w:szCs w:val="30"/>
          <w:highlight w:val="none"/>
          <w:shd w:val="clear"/>
          <w:lang w:eastAsia="zh-CN"/>
        </w:rPr>
        <w:t>我</w:t>
      </w:r>
      <w:r>
        <w:rPr>
          <w:rFonts w:hint="eastAsia" w:ascii="仿宋" w:hAnsi="仿宋" w:eastAsia="仿宋" w:cs="仿宋"/>
          <w:b w:val="0"/>
          <w:i w:val="0"/>
          <w:iCs w:val="0"/>
          <w:caps w:val="0"/>
          <w:color w:val="auto"/>
          <w:spacing w:val="0"/>
          <w:sz w:val="30"/>
          <w:szCs w:val="30"/>
          <w:highlight w:val="none"/>
          <w:shd w:val="clear"/>
          <w:lang w:val="en-US" w:eastAsia="zh-CN"/>
        </w:rPr>
        <w:t>院</w:t>
      </w:r>
      <w:r>
        <w:rPr>
          <w:rFonts w:hint="eastAsia" w:ascii="仿宋" w:hAnsi="仿宋" w:eastAsia="仿宋" w:cs="仿宋"/>
          <w:b w:val="0"/>
          <w:i w:val="0"/>
          <w:iCs w:val="0"/>
          <w:caps w:val="0"/>
          <w:color w:val="auto"/>
          <w:spacing w:val="0"/>
          <w:sz w:val="30"/>
          <w:szCs w:val="30"/>
          <w:highlight w:val="none"/>
          <w:shd w:val="clear" w:fill="auto"/>
        </w:rPr>
        <w:t>成功举办。此次会议由盐城师范学院主办，中国科学学与科技政策研究会期刊工作委员会、全国师范大学经济与管理学院（商学院）院长联席会协办，商学院、数字经济学院、苏北现代化培育研究基地、盐城数字经济研究院、江苏沿海人才发展研究院、中韩（盐城）产业园创新发展研究院承办。吸引了来自政府部门、全国高校、科研院所及行业企业</w:t>
      </w:r>
      <w:r>
        <w:rPr>
          <w:rFonts w:hint="eastAsia" w:ascii="仿宋" w:hAnsi="仿宋" w:eastAsia="仿宋" w:cs="仿宋"/>
          <w:b w:val="0"/>
          <w:i w:val="0"/>
          <w:iCs w:val="0"/>
          <w:caps w:val="0"/>
          <w:color w:val="auto"/>
          <w:spacing w:val="0"/>
          <w:sz w:val="30"/>
          <w:szCs w:val="30"/>
          <w:highlight w:val="none"/>
          <w:shd w:val="clear" w:fill="auto"/>
          <w:lang w:val="en-US"/>
        </w:rPr>
        <w:t>100</w:t>
      </w:r>
      <w:r>
        <w:rPr>
          <w:rFonts w:hint="eastAsia" w:ascii="仿宋" w:hAnsi="仿宋" w:eastAsia="仿宋" w:cs="仿宋"/>
          <w:b w:val="0"/>
          <w:i w:val="0"/>
          <w:iCs w:val="0"/>
          <w:caps w:val="0"/>
          <w:color w:val="auto"/>
          <w:spacing w:val="0"/>
          <w:sz w:val="30"/>
          <w:szCs w:val="30"/>
          <w:highlight w:val="none"/>
          <w:shd w:val="clear" w:fill="auto"/>
        </w:rPr>
        <w:t>余名知名专家与青年学者齐聚盐城，围绕</w:t>
      </w:r>
      <w:r>
        <w:rPr>
          <w:rFonts w:hint="eastAsia" w:ascii="仿宋" w:hAnsi="仿宋" w:eastAsia="仿宋" w:cs="仿宋"/>
          <w:b w:val="0"/>
          <w:i w:val="0"/>
          <w:iCs w:val="0"/>
          <w:caps w:val="0"/>
          <w:color w:val="auto"/>
          <w:spacing w:val="0"/>
          <w:sz w:val="30"/>
          <w:szCs w:val="30"/>
          <w:highlight w:val="none"/>
          <w:shd w:val="clear" w:fill="auto"/>
          <w:lang w:val="en-US"/>
        </w:rPr>
        <w:t>“</w:t>
      </w:r>
      <w:r>
        <w:rPr>
          <w:rFonts w:hint="eastAsia" w:ascii="仿宋" w:hAnsi="仿宋" w:eastAsia="仿宋" w:cs="仿宋"/>
          <w:b w:val="0"/>
          <w:i w:val="0"/>
          <w:iCs w:val="0"/>
          <w:caps w:val="0"/>
          <w:color w:val="auto"/>
          <w:spacing w:val="0"/>
          <w:sz w:val="30"/>
          <w:szCs w:val="30"/>
          <w:highlight w:val="none"/>
          <w:shd w:val="clear" w:fill="auto"/>
        </w:rPr>
        <w:t>教育科技人才一体融通赋能数字经济高质量发展</w:t>
      </w:r>
      <w:r>
        <w:rPr>
          <w:rFonts w:hint="eastAsia" w:ascii="仿宋" w:hAnsi="仿宋" w:eastAsia="仿宋" w:cs="仿宋"/>
          <w:b w:val="0"/>
          <w:i w:val="0"/>
          <w:iCs w:val="0"/>
          <w:caps w:val="0"/>
          <w:color w:val="auto"/>
          <w:spacing w:val="0"/>
          <w:sz w:val="30"/>
          <w:szCs w:val="30"/>
          <w:highlight w:val="none"/>
          <w:shd w:val="clear" w:fill="auto"/>
          <w:lang w:val="en-US"/>
        </w:rPr>
        <w:t>”</w:t>
      </w:r>
      <w:r>
        <w:rPr>
          <w:rFonts w:hint="eastAsia" w:ascii="仿宋" w:hAnsi="仿宋" w:eastAsia="仿宋" w:cs="仿宋"/>
          <w:b w:val="0"/>
          <w:i w:val="0"/>
          <w:iCs w:val="0"/>
          <w:caps w:val="0"/>
          <w:color w:val="auto"/>
          <w:spacing w:val="0"/>
          <w:sz w:val="30"/>
          <w:szCs w:val="30"/>
          <w:highlight w:val="none"/>
          <w:shd w:val="clear" w:fill="auto"/>
        </w:rPr>
        <w:t>的会议主题，</w:t>
      </w:r>
      <w:r>
        <w:rPr>
          <w:rFonts w:hint="eastAsia" w:ascii="仿宋" w:hAnsi="仿宋" w:eastAsia="仿宋" w:cs="仿宋"/>
          <w:b w:val="0"/>
          <w:i w:val="0"/>
          <w:iCs w:val="0"/>
          <w:caps w:val="0"/>
          <w:color w:val="auto"/>
          <w:spacing w:val="0"/>
          <w:sz w:val="30"/>
          <w:szCs w:val="30"/>
          <w:highlight w:val="none"/>
          <w:shd w:val="clear"/>
          <w:lang w:val="en-US" w:eastAsia="zh-CN"/>
        </w:rPr>
        <w:t>7 位国家重大项目首席专家、5位国家杰青、万人计划和长江学者作主旨发言，邀请了11个期刊主编、副主编对下午5个平行论坛青年学者的报告进行了点评，同时进行了期刊面对面活动和闭幕式</w:t>
      </w:r>
      <w:bookmarkEnd w:id="1"/>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lang w:val="en-US" w:eastAsia="zh-CN"/>
        </w:rPr>
        <w:t>江苏省人民政府网站工作动态、新华日报、中国新闻网等媒体进行报道，图片新闻点击率超12万，显著提升了学院影响力和办学特色。</w:t>
      </w:r>
      <w:r>
        <w:rPr>
          <w:rFonts w:hint="eastAsia" w:ascii="仿宋" w:hAnsi="仿宋" w:eastAsia="仿宋" w:cs="仿宋"/>
          <w:b w:val="0"/>
          <w:color w:val="auto"/>
          <w:sz w:val="30"/>
          <w:szCs w:val="30"/>
          <w:highlight w:val="none"/>
        </w:rPr>
        <w:t>积极培育学科增长点。聚焦“十五五”重点学科遴选培育，高标准高起点推进交叉学科发展试点建设，针对数字经济、金融科技、人工智能等新兴领域，推动学科交叉融合，打造新的学科增长点。</w:t>
      </w:r>
    </w:p>
    <w:p w14:paraId="59FFEBE5">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outlineLvl w:val="9"/>
        <w:rPr>
          <w:rFonts w:hint="eastAsia" w:ascii="仿宋" w:hAnsi="仿宋" w:eastAsia="仿宋" w:cs="仿宋"/>
          <w:b w:val="0"/>
          <w:color w:val="auto"/>
          <w:sz w:val="30"/>
          <w:szCs w:val="30"/>
          <w:highlight w:val="none"/>
        </w:rPr>
      </w:pPr>
      <w:r>
        <w:rPr>
          <w:rFonts w:hint="eastAsia" w:ascii="仿宋" w:hAnsi="仿宋" w:eastAsia="仿宋" w:cs="仿宋"/>
          <w:b/>
          <w:bCs/>
          <w:color w:val="auto"/>
          <w:sz w:val="30"/>
          <w:szCs w:val="30"/>
          <w:highlight w:val="none"/>
        </w:rPr>
        <w:t>五是扎实推进申硕工作。</w:t>
      </w:r>
      <w:r>
        <w:rPr>
          <w:rFonts w:hint="eastAsia" w:ascii="仿宋" w:hAnsi="仿宋" w:eastAsia="仿宋" w:cs="仿宋"/>
          <w:b w:val="0"/>
          <w:color w:val="auto"/>
          <w:sz w:val="30"/>
          <w:szCs w:val="30"/>
          <w:highlight w:val="none"/>
        </w:rPr>
        <w:t>加强组织保障</w:t>
      </w:r>
      <w:r>
        <w:rPr>
          <w:rFonts w:hint="eastAsia" w:ascii="仿宋" w:hAnsi="仿宋" w:eastAsia="仿宋" w:cs="仿宋"/>
          <w:b w:val="0"/>
          <w:color w:val="auto"/>
          <w:sz w:val="30"/>
          <w:szCs w:val="30"/>
          <w:highlight w:val="none"/>
          <w:lang w:eastAsia="zh-CN"/>
        </w:rPr>
        <w:t>，</w:t>
      </w:r>
      <w:r>
        <w:rPr>
          <w:rFonts w:hint="eastAsia" w:ascii="仿宋" w:hAnsi="仿宋" w:eastAsia="仿宋" w:cs="仿宋"/>
          <w:b w:val="0"/>
          <w:color w:val="auto"/>
          <w:sz w:val="30"/>
          <w:szCs w:val="30"/>
          <w:highlight w:val="none"/>
        </w:rPr>
        <w:t>积极参加江苏省学科专业设置调整优化改革试点项目，学院成立学科建设与申硕工作领导小组，制定《商学院学科建设与申硕工作方案》，召开3次学科与专业建设工作推进会，统筹协调各项工作，确保任务落实。建立学科建设与申硕工作考核机制，定期对工作进展和成效进行评估，确保各项任务按时完成，形成上下齐动员、人人有责任、人人扛担子、人人有压力的良好推进局面，以务实有效的举措推进申硕指标的超额完成。</w:t>
      </w:r>
      <w:r>
        <w:rPr>
          <w:rFonts w:hint="eastAsia" w:ascii="仿宋" w:hAnsi="仿宋" w:eastAsia="仿宋" w:cs="仿宋"/>
          <w:b w:val="0"/>
          <w:color w:val="auto"/>
          <w:sz w:val="30"/>
          <w:szCs w:val="30"/>
          <w:highlight w:val="none"/>
          <w:lang w:val="en-US" w:eastAsia="zh-CN"/>
        </w:rPr>
        <w:t>2025年度完成数字经济、会计、管理科学与工程3门专硕的材料准备工作，各项指标均已达标。</w:t>
      </w:r>
      <w:r>
        <w:rPr>
          <w:rFonts w:hint="eastAsia" w:ascii="仿宋" w:hAnsi="仿宋" w:eastAsia="仿宋" w:cs="仿宋"/>
          <w:b w:val="0"/>
          <w:color w:val="auto"/>
          <w:sz w:val="30"/>
          <w:szCs w:val="30"/>
          <w:highlight w:val="none"/>
        </w:rPr>
        <w:t>与盐城市斗龙港生态旅游度假区发展有限公司签订校企战略合作框架协议，为后续推进研究生教育工作、进行多领域合作发展等奠定了良好基础。积极营造良好的育人环境。强化指导老师负责制，充分发挥好导师的“学术引领”和“思想引领”的双重作用，优化导师配备。不断加强研究生过程管理，坚持高标准、高质量、高要求，认真组织MPAcc研究生学位论文的开题、中期检查、预答辩、论文盲审和答辩工作，研究生培养质量和论文水平不断得到提升，4名</w:t>
      </w:r>
      <w:r>
        <w:rPr>
          <w:rFonts w:hint="eastAsia" w:ascii="仿宋" w:hAnsi="仿宋" w:eastAsia="仿宋" w:cs="仿宋"/>
          <w:b w:val="0"/>
          <w:color w:val="auto"/>
          <w:sz w:val="30"/>
          <w:szCs w:val="30"/>
          <w:highlight w:val="none"/>
          <w:lang w:val="en-US" w:eastAsia="zh-CN"/>
        </w:rPr>
        <w:t>MPAcc</w:t>
      </w:r>
      <w:r>
        <w:rPr>
          <w:rFonts w:hint="eastAsia" w:ascii="仿宋" w:hAnsi="仿宋" w:eastAsia="仿宋" w:cs="仿宋"/>
          <w:b w:val="0"/>
          <w:color w:val="auto"/>
          <w:sz w:val="30"/>
          <w:szCs w:val="30"/>
          <w:highlight w:val="none"/>
        </w:rPr>
        <w:t>研究生顺利毕业。</w:t>
      </w:r>
    </w:p>
    <w:p w14:paraId="7767A8EC">
      <w:pPr>
        <w:pStyle w:val="12"/>
        <w:spacing w:line="360" w:lineRule="auto"/>
        <w:ind w:left="0" w:leftChars="0" w:firstLine="602"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五、学生工作</w:t>
      </w:r>
    </w:p>
    <w:p w14:paraId="00148B7B">
      <w:pPr>
        <w:spacing w:line="580" w:lineRule="exact"/>
        <w:ind w:firstLine="602" w:firstLineChars="200"/>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一是聚焦“三力一度”，赋能青春建功。</w:t>
      </w:r>
      <w:r>
        <w:rPr>
          <w:rFonts w:hint="eastAsia" w:ascii="仿宋" w:hAnsi="仿宋" w:eastAsia="仿宋" w:cs="仿宋"/>
          <w:b w:val="0"/>
          <w:bCs/>
          <w:color w:val="auto"/>
          <w:kern w:val="2"/>
          <w:sz w:val="30"/>
          <w:szCs w:val="30"/>
          <w:highlight w:val="none"/>
          <w:lang w:val="en-US" w:eastAsia="zh-CN" w:bidi="ar-SA"/>
        </w:rPr>
        <w:t>筑牢青年思想根基，深入学习宣传贯彻党的二十大精神及习近平总书记系列重要讲话精神，依托“信仰公开课”、主题团日等载体开展理论学习10余场，引导青年深刻领悟“两个确立”的决定性意义。持续实施“青年马克思主义者培养工程”，1名学生在团干部思政技能大比武中获校赛二等奖。结合重要节点广泛开展爱国主义和理想信念教育。激发基层组织活力，全面落实从严治团要求，顺利完成学生组织换届。推进基层团支部规范化建设，严格执行“三会两制一课”制度，提升主题团日活动质量。规范开展团员发展与教育管理，全年发展团员201名；完成“团推优”318人，推优入党率保持100%。学院学生会获评“2023-2024学年度校优秀学生会分会”。助力青年成长成才，深化“第二课堂”建设，PU平台发布活动167项。精准开展就业帮扶，依托“团团微就业”平台服务青年就业需求。引导毕业生服务国家战略，2025届4人入选西部计划、10人入选乡村振兴计划。“学雷锋”活动月组织志愿服务40余次，参与超2500人次；</w:t>
      </w:r>
      <w:r>
        <w:rPr>
          <w:rFonts w:hint="eastAsia" w:ascii="仿宋" w:hAnsi="仿宋" w:eastAsia="仿宋" w:cs="仿宋"/>
          <w:sz w:val="30"/>
          <w:szCs w:val="30"/>
        </w:rPr>
        <w:t>竞明社团荣获校“十佳社团”。</w:t>
      </w:r>
      <w:r>
        <w:rPr>
          <w:rFonts w:hint="eastAsia" w:ascii="仿宋" w:hAnsi="仿宋" w:eastAsia="仿宋" w:cs="仿宋"/>
          <w:b w:val="0"/>
          <w:bCs/>
          <w:color w:val="auto"/>
          <w:kern w:val="2"/>
          <w:sz w:val="30"/>
          <w:szCs w:val="30"/>
          <w:highlight w:val="none"/>
          <w:lang w:val="en-US" w:eastAsia="zh-CN" w:bidi="ar-SA"/>
        </w:rPr>
        <w:t>“盐小圈”志愿服务队入选团中央“七彩假期”项目，心火青年志愿者团队入选“少年儿童安全守护计划”管道保护宣传项目。彰显青春担当作为，推动社会实践与专业教育、社会服务深度融合，2025年暑期组建国家级重点团队1支、院级重点团队9支，带领2600余名师生深入多省份基层实践，获中国江苏网、中国新闻网等主流媒体报道50余篇。新建社会实践基地4个，学院获校社会实践先进集体。积极组织“挑战杯”等竞赛，校级累计获奖70余项，学院获科技文化艺术节先进集体。</w:t>
      </w:r>
    </w:p>
    <w:p w14:paraId="6400A96A">
      <w:pPr>
        <w:spacing w:line="580" w:lineRule="exact"/>
        <w:ind w:firstLine="602" w:firstLineChars="200"/>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bCs/>
          <w:color w:val="auto"/>
          <w:sz w:val="30"/>
          <w:szCs w:val="30"/>
          <w:highlight w:val="none"/>
        </w:rPr>
        <w:t>二是深化学风建设，夯实成长根基。</w:t>
      </w:r>
      <w:r>
        <w:rPr>
          <w:rFonts w:hint="eastAsia" w:ascii="仿宋" w:hAnsi="仿宋" w:eastAsia="仿宋" w:cs="仿宋"/>
          <w:b w:val="0"/>
          <w:bCs/>
          <w:color w:val="auto"/>
          <w:kern w:val="2"/>
          <w:sz w:val="32"/>
          <w:szCs w:val="32"/>
          <w:highlight w:val="none"/>
          <w:lang w:val="en-US" w:eastAsia="zh-CN" w:bidi="ar-SA"/>
        </w:rPr>
        <w:t>强化日常管理规范，实施精细化管理，狠抓课堂考勤、宿舍安全等“五项常规”，构建“学院、辅导员、班级安全委员、寝室长”四级联动机制，常规管理位居学校前列。落实课堂考勤预警和学业预警制度，全年收取考勤表38762份，检查晚自习97次，持续强化学生规矩意识。发挥榜样示范效应，规范开展评奖评优，高效组织专业奖学金评定工作，覆盖学生1800余人次，完成三好学生、优秀学生干部评选，覆盖学生720余人次；评定国家奖学金7名、国家励志奖学金117名、“黄海明珠”奖学金11名、“立德树人”奖学金1名（详见表1）。</w:t>
      </w:r>
      <w:r>
        <w:rPr>
          <w:rFonts w:hint="eastAsia" w:ascii="仿宋" w:hAnsi="仿宋" w:eastAsia="仿宋" w:cs="仿宋"/>
          <w:bCs/>
          <w:sz w:val="32"/>
          <w:szCs w:val="32"/>
        </w:rPr>
        <w:t>营造争先创优氛围，1个</w:t>
      </w:r>
      <w:bookmarkStart w:id="2" w:name="OLE_LINK5"/>
      <w:bookmarkStart w:id="3" w:name="OLE_LINK4"/>
      <w:r>
        <w:rPr>
          <w:rFonts w:hint="eastAsia" w:ascii="仿宋" w:hAnsi="仿宋" w:eastAsia="仿宋" w:cs="仿宋"/>
          <w:bCs/>
          <w:sz w:val="32"/>
          <w:szCs w:val="32"/>
        </w:rPr>
        <w:t>班级获评“王强班”</w:t>
      </w:r>
      <w:bookmarkEnd w:id="2"/>
      <w:bookmarkEnd w:id="3"/>
      <w:r>
        <w:rPr>
          <w:rFonts w:hint="eastAsia" w:ascii="仿宋" w:hAnsi="仿宋" w:eastAsia="仿宋" w:cs="仿宋"/>
          <w:bCs/>
          <w:sz w:val="32"/>
          <w:szCs w:val="32"/>
        </w:rPr>
        <w:t>， 1个班级获评“王强班”提名。</w:t>
      </w:r>
      <w:r>
        <w:rPr>
          <w:rFonts w:hint="eastAsia" w:ascii="仿宋" w:hAnsi="仿宋" w:eastAsia="仿宋" w:cs="仿宋"/>
          <w:b w:val="0"/>
          <w:bCs/>
          <w:color w:val="auto"/>
          <w:kern w:val="2"/>
          <w:sz w:val="32"/>
          <w:szCs w:val="32"/>
          <w:highlight w:val="none"/>
          <w:lang w:val="en-US" w:eastAsia="zh-CN" w:bidi="ar-SA"/>
        </w:rPr>
        <w:t>加强宣传引导力度，全年推送学校主页新闻17篇、工作动态52篇、学院主页新闻170篇，相关活动获《新华日报》《中国新闻网》《交汇点》《中国青年网》《盐城晚报》等媒体报道26次。“盐师商学院”微信公众号关注人数达3828人，年度发布推文127条。构建学风长效机制，以学风建设月为抓手，围绕制度、思想、教风、榜样、实践五个维度，深化“全员、全程、全域”学风建设。学院获评</w:t>
      </w:r>
      <w:r>
        <w:rPr>
          <w:rFonts w:hint="eastAsia" w:ascii="仿宋" w:hAnsi="仿宋" w:eastAsia="仿宋" w:cs="仿宋"/>
          <w:bCs/>
          <w:sz w:val="32"/>
          <w:szCs w:val="32"/>
        </w:rPr>
        <w:t>校新生入学教育一等奖，</w:t>
      </w:r>
      <w:r>
        <w:rPr>
          <w:rFonts w:hint="eastAsia" w:ascii="仿宋" w:hAnsi="仿宋" w:eastAsia="仿宋" w:cs="仿宋"/>
          <w:b w:val="0"/>
          <w:bCs/>
          <w:color w:val="auto"/>
          <w:kern w:val="2"/>
          <w:sz w:val="32"/>
          <w:szCs w:val="32"/>
          <w:highlight w:val="none"/>
          <w:lang w:val="en-US" w:eastAsia="zh-CN" w:bidi="ar-SA"/>
        </w:rPr>
        <w:t>学风建设月二等奖，16个班级获评先进班级，77名学生获评先进个人。</w:t>
      </w:r>
    </w:p>
    <w:p w14:paraId="6F3AA488">
      <w:pPr>
        <w:spacing w:before="156" w:beforeLines="50" w:after="156" w:afterLines="50" w:line="360" w:lineRule="auto"/>
        <w:jc w:val="center"/>
        <w:rPr>
          <w:rFonts w:hint="eastAsia" w:ascii="Times New Roman" w:hAnsi="Times New Roman" w:eastAsia="黑体" w:cs="黑体"/>
          <w:sz w:val="24"/>
        </w:rPr>
      </w:pPr>
      <w:r>
        <w:rPr>
          <w:rFonts w:hint="eastAsia" w:ascii="Times New Roman" w:hAnsi="Times New Roman" w:eastAsia="黑体" w:cs="黑体"/>
          <w:sz w:val="24"/>
        </w:rPr>
        <w:t>表1  2025年学生评奖评优一览表</w:t>
      </w:r>
    </w:p>
    <w:tbl>
      <w:tblPr>
        <w:tblStyle w:val="14"/>
        <w:tblW w:w="8535" w:type="dxa"/>
        <w:tblInd w:w="78" w:type="dxa"/>
        <w:tblLayout w:type="fixed"/>
        <w:tblCellMar>
          <w:top w:w="0" w:type="dxa"/>
          <w:left w:w="108" w:type="dxa"/>
          <w:bottom w:w="0" w:type="dxa"/>
          <w:right w:w="108" w:type="dxa"/>
        </w:tblCellMar>
      </w:tblPr>
      <w:tblGrid>
        <w:gridCol w:w="739"/>
        <w:gridCol w:w="2126"/>
        <w:gridCol w:w="5670"/>
      </w:tblGrid>
      <w:tr w14:paraId="2479F4A1">
        <w:tblPrEx>
          <w:tblCellMar>
            <w:top w:w="0" w:type="dxa"/>
            <w:left w:w="108" w:type="dxa"/>
            <w:bottom w:w="0" w:type="dxa"/>
            <w:right w:w="108" w:type="dxa"/>
          </w:tblCellMar>
        </w:tblPrEx>
        <w:trPr>
          <w:trHeight w:val="419" w:hRule="atLeast"/>
        </w:trPr>
        <w:tc>
          <w:tcPr>
            <w:tcW w:w="739" w:type="dxa"/>
            <w:tcBorders>
              <w:top w:val="single" w:color="auto" w:sz="6" w:space="0"/>
              <w:left w:val="single" w:color="auto" w:sz="6" w:space="0"/>
              <w:bottom w:val="single" w:color="auto" w:sz="6" w:space="0"/>
              <w:right w:val="single" w:color="auto" w:sz="6" w:space="0"/>
            </w:tcBorders>
            <w:noWrap w:val="0"/>
            <w:vAlign w:val="center"/>
          </w:tcPr>
          <w:p w14:paraId="55021015">
            <w:pPr>
              <w:autoSpaceDE w:val="0"/>
              <w:autoSpaceDN w:val="0"/>
              <w:adjustRightInd w:val="0"/>
              <w:contextualSpacing/>
              <w:jc w:val="center"/>
              <w:rPr>
                <w:rFonts w:ascii="宋体" w:cs="宋体"/>
                <w:b/>
                <w:bCs/>
                <w:color w:val="000000"/>
                <w:kern w:val="0"/>
                <w:sz w:val="22"/>
              </w:rPr>
            </w:pPr>
            <w:r>
              <w:rPr>
                <w:rFonts w:hint="eastAsia" w:ascii="宋体" w:cs="宋体"/>
                <w:b/>
                <w:bCs/>
                <w:color w:val="000000"/>
                <w:kern w:val="0"/>
                <w:sz w:val="22"/>
              </w:rPr>
              <w:t>序号</w:t>
            </w:r>
          </w:p>
        </w:tc>
        <w:tc>
          <w:tcPr>
            <w:tcW w:w="2126" w:type="dxa"/>
            <w:tcBorders>
              <w:top w:val="single" w:color="auto" w:sz="6" w:space="0"/>
              <w:left w:val="single" w:color="auto" w:sz="6" w:space="0"/>
              <w:bottom w:val="single" w:color="auto" w:sz="6" w:space="0"/>
              <w:right w:val="single" w:color="auto" w:sz="6" w:space="0"/>
            </w:tcBorders>
            <w:noWrap w:val="0"/>
            <w:vAlign w:val="center"/>
          </w:tcPr>
          <w:p w14:paraId="25F3E49A">
            <w:pPr>
              <w:autoSpaceDE w:val="0"/>
              <w:autoSpaceDN w:val="0"/>
              <w:adjustRightInd w:val="0"/>
              <w:contextualSpacing/>
              <w:jc w:val="center"/>
              <w:rPr>
                <w:rFonts w:ascii="宋体" w:cs="宋体"/>
                <w:b/>
                <w:bCs/>
                <w:color w:val="000000"/>
                <w:kern w:val="0"/>
                <w:sz w:val="22"/>
              </w:rPr>
            </w:pPr>
            <w:r>
              <w:rPr>
                <w:rFonts w:hint="eastAsia" w:ascii="宋体" w:cs="宋体"/>
                <w:b/>
                <w:bCs/>
                <w:color w:val="000000"/>
                <w:kern w:val="0"/>
                <w:sz w:val="22"/>
              </w:rPr>
              <w:t>获奖名称</w:t>
            </w:r>
          </w:p>
        </w:tc>
        <w:tc>
          <w:tcPr>
            <w:tcW w:w="5670" w:type="dxa"/>
            <w:tcBorders>
              <w:top w:val="single" w:color="auto" w:sz="6" w:space="0"/>
              <w:left w:val="single" w:color="auto" w:sz="6" w:space="0"/>
              <w:bottom w:val="single" w:color="auto" w:sz="6" w:space="0"/>
              <w:right w:val="single" w:color="auto" w:sz="6" w:space="0"/>
            </w:tcBorders>
            <w:noWrap w:val="0"/>
            <w:vAlign w:val="center"/>
          </w:tcPr>
          <w:p w14:paraId="302FDB4E">
            <w:pPr>
              <w:autoSpaceDE w:val="0"/>
              <w:autoSpaceDN w:val="0"/>
              <w:adjustRightInd w:val="0"/>
              <w:contextualSpacing/>
              <w:jc w:val="center"/>
              <w:rPr>
                <w:rFonts w:ascii="宋体" w:cs="宋体"/>
                <w:b/>
                <w:bCs/>
                <w:color w:val="000000"/>
                <w:kern w:val="0"/>
                <w:sz w:val="22"/>
              </w:rPr>
            </w:pPr>
            <w:r>
              <w:rPr>
                <w:rFonts w:hint="eastAsia" w:ascii="宋体" w:cs="宋体"/>
                <w:b/>
                <w:bCs/>
                <w:color w:val="000000"/>
                <w:kern w:val="0"/>
                <w:sz w:val="22"/>
              </w:rPr>
              <w:t>获奖学生</w:t>
            </w:r>
          </w:p>
        </w:tc>
      </w:tr>
      <w:tr w14:paraId="6D24FD0B">
        <w:tblPrEx>
          <w:tblCellMar>
            <w:top w:w="0" w:type="dxa"/>
            <w:left w:w="108" w:type="dxa"/>
            <w:bottom w:w="0" w:type="dxa"/>
            <w:right w:w="108" w:type="dxa"/>
          </w:tblCellMar>
        </w:tblPrEx>
        <w:trPr>
          <w:trHeight w:val="451" w:hRule="atLeast"/>
        </w:trPr>
        <w:tc>
          <w:tcPr>
            <w:tcW w:w="739" w:type="dxa"/>
            <w:tcBorders>
              <w:top w:val="single" w:color="auto" w:sz="6" w:space="0"/>
              <w:left w:val="single" w:color="auto" w:sz="6" w:space="0"/>
              <w:bottom w:val="single" w:color="auto" w:sz="6" w:space="0"/>
              <w:right w:val="single" w:color="auto" w:sz="6" w:space="0"/>
            </w:tcBorders>
            <w:noWrap w:val="0"/>
            <w:vAlign w:val="center"/>
          </w:tcPr>
          <w:p w14:paraId="48F4E8C0">
            <w:pPr>
              <w:spacing w:line="320" w:lineRule="exact"/>
              <w:jc w:val="center"/>
              <w:rPr>
                <w:rFonts w:ascii="Times New Roman"/>
              </w:rPr>
            </w:pPr>
            <w:r>
              <w:rPr>
                <w:rFonts w:ascii="Times New Roman"/>
              </w:rPr>
              <w:t>1</w:t>
            </w:r>
          </w:p>
        </w:tc>
        <w:tc>
          <w:tcPr>
            <w:tcW w:w="2126" w:type="dxa"/>
            <w:tcBorders>
              <w:top w:val="single" w:color="auto" w:sz="6" w:space="0"/>
              <w:left w:val="single" w:color="auto" w:sz="6" w:space="0"/>
              <w:bottom w:val="single" w:color="auto" w:sz="6" w:space="0"/>
              <w:right w:val="single" w:color="auto" w:sz="6" w:space="0"/>
            </w:tcBorders>
            <w:noWrap w:val="0"/>
            <w:vAlign w:val="center"/>
          </w:tcPr>
          <w:p w14:paraId="78C7C5B9">
            <w:pPr>
              <w:spacing w:line="320" w:lineRule="exact"/>
              <w:jc w:val="center"/>
              <w:rPr>
                <w:rFonts w:ascii="Times New Roman"/>
              </w:rPr>
            </w:pPr>
            <w:r>
              <w:rPr>
                <w:rFonts w:hint="eastAsia" w:ascii="Times New Roman"/>
              </w:rPr>
              <w:t>国家奖学金</w:t>
            </w:r>
          </w:p>
        </w:tc>
        <w:tc>
          <w:tcPr>
            <w:tcW w:w="5670" w:type="dxa"/>
            <w:tcBorders>
              <w:top w:val="single" w:color="auto" w:sz="6" w:space="0"/>
              <w:left w:val="single" w:color="auto" w:sz="6" w:space="0"/>
              <w:bottom w:val="single" w:color="auto" w:sz="6" w:space="0"/>
              <w:right w:val="single" w:color="auto" w:sz="6" w:space="0"/>
            </w:tcBorders>
            <w:noWrap w:val="0"/>
            <w:vAlign w:val="center"/>
          </w:tcPr>
          <w:p w14:paraId="4B18CD62">
            <w:pPr>
              <w:spacing w:line="320" w:lineRule="exact"/>
              <w:jc w:val="center"/>
              <w:rPr>
                <w:rFonts w:ascii="Times New Roman"/>
              </w:rPr>
            </w:pPr>
            <w:r>
              <w:rPr>
                <w:rFonts w:hint="eastAsia" w:ascii="Times New Roman"/>
              </w:rPr>
              <w:t>王馨研、朱潇雨、江宜慧、杨晶妍、费淼森、倪玲、魏娟</w:t>
            </w:r>
          </w:p>
        </w:tc>
      </w:tr>
      <w:tr w14:paraId="21712202">
        <w:tblPrEx>
          <w:tblCellMar>
            <w:top w:w="0" w:type="dxa"/>
            <w:left w:w="108" w:type="dxa"/>
            <w:bottom w:w="0" w:type="dxa"/>
            <w:right w:w="108" w:type="dxa"/>
          </w:tblCellMar>
        </w:tblPrEx>
        <w:trPr>
          <w:trHeight w:val="470" w:hRule="atLeast"/>
        </w:trPr>
        <w:tc>
          <w:tcPr>
            <w:tcW w:w="739" w:type="dxa"/>
            <w:tcBorders>
              <w:top w:val="single" w:color="auto" w:sz="6" w:space="0"/>
              <w:left w:val="single" w:color="auto" w:sz="6" w:space="0"/>
              <w:bottom w:val="single" w:color="auto" w:sz="6" w:space="0"/>
              <w:right w:val="single" w:color="auto" w:sz="6" w:space="0"/>
            </w:tcBorders>
            <w:noWrap w:val="0"/>
            <w:vAlign w:val="center"/>
          </w:tcPr>
          <w:p w14:paraId="462EB438">
            <w:pPr>
              <w:spacing w:line="320" w:lineRule="exact"/>
              <w:jc w:val="center"/>
              <w:rPr>
                <w:rFonts w:ascii="Times New Roman"/>
              </w:rPr>
            </w:pPr>
            <w:r>
              <w:rPr>
                <w:rFonts w:ascii="Times New Roman"/>
              </w:rPr>
              <w:t>2</w:t>
            </w:r>
          </w:p>
        </w:tc>
        <w:tc>
          <w:tcPr>
            <w:tcW w:w="2126" w:type="dxa"/>
            <w:tcBorders>
              <w:top w:val="single" w:color="auto" w:sz="6" w:space="0"/>
              <w:left w:val="single" w:color="auto" w:sz="6" w:space="0"/>
              <w:bottom w:val="single" w:color="auto" w:sz="6" w:space="0"/>
              <w:right w:val="single" w:color="auto" w:sz="6" w:space="0"/>
            </w:tcBorders>
            <w:noWrap w:val="0"/>
            <w:vAlign w:val="center"/>
          </w:tcPr>
          <w:p w14:paraId="1ED620EE">
            <w:pPr>
              <w:spacing w:line="320" w:lineRule="exact"/>
              <w:jc w:val="center"/>
              <w:rPr>
                <w:rFonts w:ascii="Times New Roman"/>
              </w:rPr>
            </w:pPr>
            <w:r>
              <w:rPr>
                <w:rFonts w:hint="eastAsia" w:ascii="Times New Roman"/>
              </w:rPr>
              <w:t>“立德树人”奖学金</w:t>
            </w:r>
          </w:p>
        </w:tc>
        <w:tc>
          <w:tcPr>
            <w:tcW w:w="5670" w:type="dxa"/>
            <w:tcBorders>
              <w:top w:val="single" w:color="auto" w:sz="6" w:space="0"/>
              <w:left w:val="single" w:color="auto" w:sz="6" w:space="0"/>
              <w:bottom w:val="single" w:color="auto" w:sz="6" w:space="0"/>
              <w:right w:val="single" w:color="auto" w:sz="6" w:space="0"/>
            </w:tcBorders>
            <w:noWrap w:val="0"/>
            <w:vAlign w:val="center"/>
          </w:tcPr>
          <w:p w14:paraId="5B622F8E">
            <w:pPr>
              <w:spacing w:line="320" w:lineRule="exact"/>
              <w:jc w:val="center"/>
              <w:rPr>
                <w:rFonts w:ascii="Times New Roman"/>
              </w:rPr>
            </w:pPr>
            <w:r>
              <w:rPr>
                <w:rFonts w:hint="eastAsia" w:ascii="Times New Roman"/>
              </w:rPr>
              <w:t>马莲</w:t>
            </w:r>
          </w:p>
        </w:tc>
      </w:tr>
      <w:tr w14:paraId="2D601742">
        <w:tblPrEx>
          <w:tblCellMar>
            <w:top w:w="0" w:type="dxa"/>
            <w:left w:w="108" w:type="dxa"/>
            <w:bottom w:w="0" w:type="dxa"/>
            <w:right w:w="108" w:type="dxa"/>
          </w:tblCellMar>
        </w:tblPrEx>
        <w:trPr>
          <w:trHeight w:val="754" w:hRule="atLeast"/>
        </w:trPr>
        <w:tc>
          <w:tcPr>
            <w:tcW w:w="739" w:type="dxa"/>
            <w:tcBorders>
              <w:top w:val="single" w:color="auto" w:sz="6" w:space="0"/>
              <w:left w:val="single" w:color="auto" w:sz="6" w:space="0"/>
              <w:bottom w:val="single" w:color="auto" w:sz="6" w:space="0"/>
              <w:right w:val="single" w:color="auto" w:sz="6" w:space="0"/>
            </w:tcBorders>
            <w:noWrap w:val="0"/>
            <w:vAlign w:val="center"/>
          </w:tcPr>
          <w:p w14:paraId="02011DDD">
            <w:pPr>
              <w:spacing w:line="320" w:lineRule="exact"/>
              <w:jc w:val="center"/>
              <w:rPr>
                <w:rFonts w:ascii="Times New Roman"/>
              </w:rPr>
            </w:pPr>
            <w:r>
              <w:rPr>
                <w:rFonts w:ascii="Times New Roman"/>
              </w:rPr>
              <w:t>3</w:t>
            </w:r>
          </w:p>
        </w:tc>
        <w:tc>
          <w:tcPr>
            <w:tcW w:w="2126" w:type="dxa"/>
            <w:tcBorders>
              <w:top w:val="single" w:color="auto" w:sz="6" w:space="0"/>
              <w:left w:val="single" w:color="auto" w:sz="6" w:space="0"/>
              <w:bottom w:val="single" w:color="auto" w:sz="6" w:space="0"/>
              <w:right w:val="single" w:color="auto" w:sz="6" w:space="0"/>
            </w:tcBorders>
            <w:noWrap w:val="0"/>
            <w:vAlign w:val="center"/>
          </w:tcPr>
          <w:p w14:paraId="0E779F6B">
            <w:pPr>
              <w:spacing w:line="320" w:lineRule="exact"/>
              <w:jc w:val="center"/>
              <w:rPr>
                <w:rFonts w:ascii="Times New Roman"/>
              </w:rPr>
            </w:pPr>
            <w:r>
              <w:rPr>
                <w:rFonts w:hint="eastAsia" w:ascii="Times New Roman"/>
              </w:rPr>
              <w:t>“黄海明珠”奖学金</w:t>
            </w:r>
          </w:p>
        </w:tc>
        <w:tc>
          <w:tcPr>
            <w:tcW w:w="5670" w:type="dxa"/>
            <w:tcBorders>
              <w:top w:val="single" w:color="auto" w:sz="6" w:space="0"/>
              <w:left w:val="single" w:color="auto" w:sz="6" w:space="0"/>
              <w:bottom w:val="single" w:color="auto" w:sz="6" w:space="0"/>
              <w:right w:val="single" w:color="auto" w:sz="6" w:space="0"/>
            </w:tcBorders>
            <w:noWrap w:val="0"/>
            <w:vAlign w:val="center"/>
          </w:tcPr>
          <w:p w14:paraId="1BC71B0C">
            <w:pPr>
              <w:spacing w:line="320" w:lineRule="exact"/>
              <w:jc w:val="center"/>
              <w:rPr>
                <w:rFonts w:ascii="Times New Roman"/>
              </w:rPr>
            </w:pPr>
            <w:r>
              <w:rPr>
                <w:rFonts w:hint="eastAsia" w:ascii="Times New Roman"/>
              </w:rPr>
              <w:t>丁佳瑞、叶扬、朱文龙、刘媛、安笛、</w:t>
            </w:r>
          </w:p>
          <w:p w14:paraId="19435287">
            <w:pPr>
              <w:spacing w:line="320" w:lineRule="exact"/>
              <w:jc w:val="center"/>
              <w:rPr>
                <w:rFonts w:ascii="Times New Roman"/>
              </w:rPr>
            </w:pPr>
            <w:r>
              <w:rPr>
                <w:rFonts w:hint="eastAsia" w:ascii="Times New Roman"/>
              </w:rPr>
              <w:t>严元、辛琪、季雨婷、周嘉禹、顾语凝、戴冠煐</w:t>
            </w:r>
          </w:p>
        </w:tc>
      </w:tr>
    </w:tbl>
    <w:p w14:paraId="64C4A743">
      <w:pPr>
        <w:pStyle w:val="12"/>
        <w:spacing w:line="580" w:lineRule="exact"/>
        <w:ind w:left="0" w:leftChars="0" w:firstLine="602" w:firstLineChars="200"/>
        <w:outlineLvl w:val="9"/>
        <w:rPr>
          <w:rFonts w:hint="eastAsia" w:ascii="仿宋" w:hAnsi="仿宋" w:eastAsia="仿宋" w:cs="仿宋"/>
          <w:b w:val="0"/>
          <w:color w:val="auto"/>
          <w:sz w:val="30"/>
          <w:szCs w:val="30"/>
          <w:highlight w:val="none"/>
        </w:rPr>
      </w:pPr>
      <w:r>
        <w:rPr>
          <w:rFonts w:hint="eastAsia" w:ascii="仿宋" w:hAnsi="仿宋" w:eastAsia="仿宋" w:cs="仿宋"/>
          <w:b/>
          <w:bCs w:val="0"/>
          <w:color w:val="auto"/>
          <w:sz w:val="30"/>
          <w:szCs w:val="30"/>
          <w:highlight w:val="none"/>
        </w:rPr>
        <w:t>三是筑牢安全防线，守护学生成长。</w:t>
      </w:r>
      <w:r>
        <w:rPr>
          <w:rFonts w:hint="eastAsia" w:ascii="仿宋" w:hAnsi="仿宋" w:eastAsia="仿宋" w:cs="仿宋"/>
          <w:b w:val="0"/>
          <w:bCs w:val="0"/>
          <w:color w:val="auto"/>
          <w:sz w:val="30"/>
          <w:szCs w:val="30"/>
          <w:highlight w:val="none"/>
        </w:rPr>
        <w:t>守牢安全稳定底线</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坚持底线思维，开展消防、反诈等主题教育宣讲10余次，坚持月度安全检查。温情开展毕业生文明离校与新生入学教育，</w:t>
      </w:r>
      <w:r>
        <w:rPr>
          <w:rFonts w:hint="eastAsia" w:ascii="仿宋" w:hAnsi="仿宋" w:eastAsia="仿宋" w:cs="仿宋"/>
          <w:b w:val="0"/>
          <w:sz w:val="30"/>
          <w:szCs w:val="30"/>
        </w:rPr>
        <w:t>连续16年</w:t>
      </w:r>
      <w:r>
        <w:rPr>
          <w:rFonts w:hint="eastAsia" w:ascii="仿宋" w:hAnsi="仿宋" w:eastAsia="仿宋" w:cs="仿宋"/>
          <w:b w:val="0"/>
          <w:bCs w:val="0"/>
          <w:color w:val="auto"/>
          <w:sz w:val="30"/>
          <w:szCs w:val="30"/>
          <w:highlight w:val="none"/>
        </w:rPr>
        <w:t>举办“师生共植毕业林”等特色活动。深化心理关怀服务</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健全“学院—辅导员—班级—宿舍”四级心理育人体系，实施网格化管理和心理周报制度。结合“3·20”“5·25”等重要节点开展形式多样的心理健康活动，打造“茶艺疗法心理工作坊”特色品牌。完成新生心理普测，建立“一生一策”档案并做好跟踪回访。提升资助育人实效</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2025年全年家庭经济困难学生建档1485人，累计上报“春华”“夏凉”“秋实”“冬暖”四项专项补助405人次。常态化开展37个勤工助学岗位管理，评定国家助学金746名、退役复学学生助学金58名，减免残疾学生学费35名，线上家访74人。暑期开展“苏乡永助”活动，获第五届资助文化节“诚信感恩 励学成才”主题教育优秀组织奖。拓展文体素质平台</w:t>
      </w:r>
      <w:r>
        <w:rPr>
          <w:rFonts w:hint="eastAsia" w:ascii="仿宋" w:hAnsi="仿宋" w:eastAsia="仿宋" w:cs="仿宋"/>
          <w:b w:val="0"/>
          <w:bCs w:val="0"/>
          <w:color w:val="auto"/>
          <w:sz w:val="30"/>
          <w:szCs w:val="30"/>
          <w:highlight w:val="none"/>
          <w:lang w:eastAsia="zh-CN"/>
        </w:rPr>
        <w:t>，</w:t>
      </w:r>
      <w:r>
        <w:rPr>
          <w:rFonts w:hint="eastAsia" w:ascii="仿宋" w:hAnsi="仿宋" w:eastAsia="仿宋" w:cs="仿宋"/>
          <w:b w:val="0"/>
          <w:bCs w:val="0"/>
          <w:color w:val="auto"/>
          <w:sz w:val="30"/>
          <w:szCs w:val="30"/>
          <w:highlight w:val="none"/>
        </w:rPr>
        <w:t>获学校第26届田径运动会学生甲组团体总分第一、男子团体第一、女子团体第一、体育道德风尚奖及最佳入场式方队等奖项，连续十八届蝉联学生团体总分冠军，</w:t>
      </w:r>
      <w:r>
        <w:rPr>
          <w:rFonts w:hint="eastAsia" w:ascii="仿宋" w:hAnsi="仿宋" w:eastAsia="仿宋" w:cs="仿宋"/>
          <w:b w:val="0"/>
          <w:sz w:val="30"/>
          <w:szCs w:val="30"/>
        </w:rPr>
        <w:t>打破校运动会记录一项</w:t>
      </w:r>
      <w:r>
        <w:rPr>
          <w:rFonts w:hint="eastAsia" w:ascii="仿宋" w:hAnsi="仿宋" w:eastAsia="仿宋" w:cs="仿宋"/>
          <w:b w:val="0"/>
          <w:sz w:val="30"/>
          <w:szCs w:val="30"/>
          <w:lang w:eastAsia="zh-CN"/>
        </w:rPr>
        <w:t>，</w:t>
      </w:r>
      <w:r>
        <w:rPr>
          <w:rFonts w:hint="eastAsia" w:ascii="仿宋" w:hAnsi="仿宋" w:eastAsia="仿宋" w:cs="仿宋"/>
          <w:b w:val="0"/>
          <w:bCs w:val="0"/>
          <w:color w:val="auto"/>
          <w:sz w:val="30"/>
          <w:szCs w:val="30"/>
          <w:highlight w:val="none"/>
        </w:rPr>
        <w:t>并在多项球类比赛中取得佳绩。</w:t>
      </w:r>
    </w:p>
    <w:p w14:paraId="16CA6D32">
      <w:pPr>
        <w:spacing w:line="580" w:lineRule="exact"/>
        <w:ind w:firstLine="602" w:firstLineChars="200"/>
        <w:contextualSpacing/>
        <w:rPr>
          <w:rFonts w:hint="eastAsia" w:ascii="仿宋" w:hAnsi="仿宋" w:eastAsia="仿宋" w:cs="仿宋"/>
          <w:color w:val="auto"/>
          <w:sz w:val="30"/>
          <w:szCs w:val="30"/>
          <w:highlight w:val="none"/>
        </w:rPr>
      </w:pPr>
      <w:r>
        <w:rPr>
          <w:rFonts w:hint="eastAsia" w:ascii="仿宋" w:hAnsi="仿宋" w:eastAsia="仿宋" w:cs="仿宋"/>
          <w:b/>
          <w:bCs w:val="0"/>
          <w:color w:val="auto"/>
          <w:sz w:val="30"/>
          <w:szCs w:val="30"/>
          <w:highlight w:val="none"/>
        </w:rPr>
        <w:t>四是优化招就服务，助力生涯发展。</w:t>
      </w:r>
      <w:r>
        <w:rPr>
          <w:rFonts w:hint="eastAsia" w:ascii="仿宋" w:hAnsi="仿宋" w:eastAsia="仿宋" w:cs="仿宋"/>
          <w:color w:val="auto"/>
          <w:sz w:val="30"/>
          <w:szCs w:val="30"/>
          <w:highlight w:val="none"/>
        </w:rPr>
        <w:t>精准开展招生宣传</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策划2025年招生工作，制作宣传材料与视频，组建队伍赴苏州片区开展宣传，学院获评“招生工作先进集体”。全力推进就业攻坚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将就业工作摆在突出位置，召开专题推进会，开展访企拓岗。组织270名毕业生参与“强技行动”就业能力培训。截至12月</w:t>
      </w:r>
      <w:r>
        <w:rPr>
          <w:rFonts w:hint="eastAsia" w:ascii="仿宋" w:hAnsi="仿宋" w:eastAsia="仿宋" w:cs="仿宋"/>
          <w:color w:val="auto"/>
          <w:sz w:val="30"/>
          <w:szCs w:val="30"/>
          <w:highlight w:val="none"/>
          <w:lang w:val="en-US" w:eastAsia="zh-CN"/>
        </w:rPr>
        <w:t>29</w:t>
      </w:r>
      <w:r>
        <w:rPr>
          <w:rFonts w:hint="eastAsia" w:ascii="仿宋" w:hAnsi="仿宋" w:eastAsia="仿宋" w:cs="仿宋"/>
          <w:color w:val="auto"/>
          <w:sz w:val="30"/>
          <w:szCs w:val="30"/>
          <w:highlight w:val="none"/>
        </w:rPr>
        <w:t>日，2025届毕业生就业率达</w:t>
      </w:r>
      <w:r>
        <w:rPr>
          <w:rFonts w:hint="eastAsia" w:ascii="仿宋" w:hAnsi="仿宋" w:eastAsia="仿宋" w:cs="仿宋"/>
          <w:color w:val="auto"/>
          <w:sz w:val="30"/>
          <w:szCs w:val="30"/>
          <w:highlight w:val="none"/>
          <w:lang w:val="en-US" w:eastAsia="zh-CN"/>
        </w:rPr>
        <w:t>95.4</w:t>
      </w:r>
      <w:r>
        <w:rPr>
          <w:rFonts w:hint="eastAsia" w:ascii="仿宋" w:hAnsi="仿宋" w:eastAsia="仿宋" w:cs="仿宋"/>
          <w:color w:val="auto"/>
          <w:sz w:val="30"/>
          <w:szCs w:val="30"/>
          <w:highlight w:val="none"/>
        </w:rPr>
        <w:t>%（详见表2），其中</w:t>
      </w:r>
      <w:r>
        <w:rPr>
          <w:rFonts w:hint="eastAsia" w:ascii="仿宋" w:hAnsi="仿宋" w:eastAsia="仿宋" w:cs="仿宋"/>
          <w:sz w:val="30"/>
          <w:szCs w:val="30"/>
        </w:rPr>
        <w:t>考取研究生</w:t>
      </w:r>
      <w:r>
        <w:rPr>
          <w:rFonts w:hint="eastAsia" w:ascii="仿宋" w:hAnsi="仿宋" w:eastAsia="仿宋" w:cs="仿宋"/>
          <w:color w:val="auto"/>
          <w:sz w:val="30"/>
          <w:szCs w:val="30"/>
          <w:highlight w:val="none"/>
        </w:rPr>
        <w:t>77人、</w:t>
      </w:r>
      <w:r>
        <w:rPr>
          <w:rFonts w:hint="eastAsia" w:ascii="仿宋" w:hAnsi="仿宋" w:eastAsia="仿宋" w:cs="仿宋"/>
          <w:sz w:val="30"/>
          <w:szCs w:val="30"/>
        </w:rPr>
        <w:t>公务员</w:t>
      </w:r>
      <w:r>
        <w:rPr>
          <w:rFonts w:hint="eastAsia" w:ascii="仿宋" w:hAnsi="仿宋" w:eastAsia="仿宋" w:cs="仿宋"/>
          <w:color w:val="auto"/>
          <w:sz w:val="30"/>
          <w:szCs w:val="30"/>
          <w:highlight w:val="none"/>
        </w:rPr>
        <w:t>11人，学院获评考研工作先进集体和就业创业工作先进集体。系统实施生涯教育</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举办“生涯嘉年华”、职业讲座等活动，完成36名毕业生教师资格认定，引导学生明确发展方向。积极推动创新创业</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组织申报求职创业补贴，开展职业生涯规划大赛，3人入围校赛；50名学生通过GYB培训考核。</w:t>
      </w:r>
    </w:p>
    <w:p w14:paraId="362F5654">
      <w:pPr>
        <w:spacing w:line="580" w:lineRule="exact"/>
        <w:jc w:val="center"/>
        <w:rPr>
          <w:rFonts w:hint="eastAsia" w:ascii="仿宋_GB2312" w:eastAsia="仿宋_GB2312"/>
          <w:sz w:val="32"/>
          <w:szCs w:val="32"/>
        </w:rPr>
      </w:pPr>
      <w:r>
        <w:rPr>
          <w:rFonts w:hint="eastAsia" w:eastAsia="黑体" w:cs="黑体"/>
          <w:sz w:val="24"/>
        </w:rPr>
        <w:t>表2  2025届</w:t>
      </w:r>
      <w:r>
        <w:rPr>
          <w:rFonts w:hint="eastAsia" w:eastAsia="黑体" w:cs="黑体"/>
          <w:sz w:val="24"/>
          <w:lang w:val="en-US" w:eastAsia="zh-CN"/>
        </w:rPr>
        <w:t>商学院各专业</w:t>
      </w:r>
      <w:r>
        <w:rPr>
          <w:rFonts w:hint="eastAsia" w:eastAsia="黑体" w:cs="黑体"/>
          <w:sz w:val="24"/>
        </w:rPr>
        <w:t>毕业生就业去向落实情况（</w:t>
      </w:r>
      <w:r>
        <w:rPr>
          <w:rFonts w:hint="eastAsia" w:eastAsia="黑体" w:cs="黑体"/>
          <w:sz w:val="24"/>
          <w:lang w:val="en-US" w:eastAsia="zh-CN"/>
        </w:rPr>
        <w:t>截至</w:t>
      </w:r>
      <w:r>
        <w:rPr>
          <w:rFonts w:hint="default" w:eastAsia="黑体" w:cs="Times New Roman"/>
          <w:sz w:val="24"/>
          <w:lang w:val="en-US" w:eastAsia="zh-CN"/>
        </w:rPr>
        <w:t>2025.12.2</w:t>
      </w:r>
      <w:r>
        <w:rPr>
          <w:rFonts w:hint="eastAsia" w:eastAsia="黑体" w:cs="Times New Roman"/>
          <w:sz w:val="24"/>
          <w:lang w:val="en-US" w:eastAsia="zh-CN"/>
        </w:rPr>
        <w:t>9</w:t>
      </w:r>
      <w:bookmarkStart w:id="4" w:name="_GoBack"/>
      <w:bookmarkEnd w:id="4"/>
      <w:r>
        <w:rPr>
          <w:rFonts w:hint="eastAsia" w:eastAsia="黑体" w:cs="黑体"/>
          <w:sz w:val="24"/>
        </w:rPr>
        <w:t>）</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8"/>
        <w:gridCol w:w="1597"/>
        <w:gridCol w:w="1946"/>
        <w:gridCol w:w="1843"/>
      </w:tblGrid>
      <w:tr w14:paraId="18F1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138" w:type="dxa"/>
            <w:noWrap/>
            <w:vAlign w:val="center"/>
          </w:tcPr>
          <w:p w14:paraId="458BEA0F">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专业</w:t>
            </w:r>
          </w:p>
        </w:tc>
        <w:tc>
          <w:tcPr>
            <w:tcW w:w="1597" w:type="dxa"/>
            <w:noWrap/>
            <w:vAlign w:val="center"/>
          </w:tcPr>
          <w:p w14:paraId="6CE52D75">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学生数</w:t>
            </w:r>
          </w:p>
        </w:tc>
        <w:tc>
          <w:tcPr>
            <w:tcW w:w="1946" w:type="dxa"/>
            <w:noWrap/>
            <w:vAlign w:val="center"/>
          </w:tcPr>
          <w:p w14:paraId="509B196B">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已就业数</w:t>
            </w:r>
          </w:p>
        </w:tc>
        <w:tc>
          <w:tcPr>
            <w:tcW w:w="1843" w:type="dxa"/>
            <w:noWrap/>
            <w:vAlign w:val="center"/>
          </w:tcPr>
          <w:p w14:paraId="08171F56">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就业率</w:t>
            </w:r>
          </w:p>
        </w:tc>
      </w:tr>
      <w:tr w14:paraId="16CC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138" w:type="dxa"/>
            <w:noWrap/>
            <w:vAlign w:val="center"/>
          </w:tcPr>
          <w:p w14:paraId="51E2F4CC">
            <w:pPr>
              <w:spacing w:line="320" w:lineRule="exact"/>
              <w:jc w:val="center"/>
              <w:rPr>
                <w:rFonts w:hint="eastAsia" w:ascii="Times New Roman" w:hAnsi="Times New Roman"/>
              </w:rPr>
            </w:pPr>
            <w:r>
              <w:rPr>
                <w:rFonts w:hint="eastAsia" w:ascii="Times New Roman" w:hAnsi="Times New Roman"/>
              </w:rPr>
              <w:t>会计学</w:t>
            </w:r>
          </w:p>
        </w:tc>
        <w:tc>
          <w:tcPr>
            <w:tcW w:w="1597" w:type="dxa"/>
            <w:noWrap/>
            <w:vAlign w:val="center"/>
          </w:tcPr>
          <w:p w14:paraId="390E4499">
            <w:pPr>
              <w:spacing w:line="320" w:lineRule="exact"/>
              <w:jc w:val="center"/>
              <w:rPr>
                <w:rFonts w:hint="eastAsia" w:ascii="Times New Roman" w:hAnsi="Times New Roman"/>
              </w:rPr>
            </w:pPr>
            <w:r>
              <w:rPr>
                <w:rFonts w:ascii="Times New Roman" w:hAnsi="Times New Roman"/>
              </w:rPr>
              <w:t>141</w:t>
            </w:r>
          </w:p>
        </w:tc>
        <w:tc>
          <w:tcPr>
            <w:tcW w:w="1946" w:type="dxa"/>
            <w:noWrap/>
            <w:vAlign w:val="center"/>
          </w:tcPr>
          <w:p w14:paraId="273EFC7C">
            <w:pPr>
              <w:spacing w:line="320" w:lineRule="exact"/>
              <w:jc w:val="center"/>
              <w:rPr>
                <w:rFonts w:hint="eastAsia" w:ascii="Times New Roman" w:hAnsi="Times New Roman" w:eastAsia="宋体"/>
                <w:lang w:eastAsia="zh-CN"/>
              </w:rPr>
            </w:pPr>
            <w:r>
              <w:t>13</w:t>
            </w:r>
            <w:r>
              <w:rPr>
                <w:rFonts w:hint="eastAsia"/>
              </w:rPr>
              <w:t>8</w:t>
            </w:r>
          </w:p>
        </w:tc>
        <w:tc>
          <w:tcPr>
            <w:tcW w:w="1843" w:type="dxa"/>
            <w:noWrap/>
            <w:vAlign w:val="center"/>
          </w:tcPr>
          <w:p w14:paraId="07CBD074">
            <w:pPr>
              <w:spacing w:line="320" w:lineRule="exact"/>
              <w:jc w:val="center"/>
              <w:rPr>
                <w:rFonts w:ascii="Times New Roman" w:hAnsi="Times New Roman"/>
              </w:rPr>
            </w:pPr>
            <w:r>
              <w:rPr>
                <w:rFonts w:hint="eastAsia"/>
              </w:rPr>
              <w:t>97.9</w:t>
            </w:r>
            <w:r>
              <w:t>%</w:t>
            </w:r>
          </w:p>
        </w:tc>
      </w:tr>
      <w:tr w14:paraId="6B7C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2138" w:type="dxa"/>
            <w:noWrap/>
            <w:vAlign w:val="center"/>
          </w:tcPr>
          <w:p w14:paraId="3D3F8439">
            <w:pPr>
              <w:spacing w:line="320" w:lineRule="exact"/>
              <w:jc w:val="center"/>
              <w:rPr>
                <w:rFonts w:ascii="Times New Roman" w:hAnsi="Times New Roman"/>
              </w:rPr>
            </w:pPr>
            <w:r>
              <w:rPr>
                <w:rFonts w:hint="eastAsia" w:ascii="Times New Roman" w:hAnsi="Times New Roman"/>
              </w:rPr>
              <w:t>财务管理</w:t>
            </w:r>
          </w:p>
        </w:tc>
        <w:tc>
          <w:tcPr>
            <w:tcW w:w="1597" w:type="dxa"/>
            <w:noWrap/>
            <w:vAlign w:val="center"/>
          </w:tcPr>
          <w:p w14:paraId="1628C57A">
            <w:pPr>
              <w:spacing w:line="320" w:lineRule="exact"/>
              <w:jc w:val="center"/>
              <w:rPr>
                <w:rFonts w:hint="eastAsia" w:ascii="Times New Roman" w:hAnsi="Times New Roman"/>
              </w:rPr>
            </w:pPr>
            <w:r>
              <w:rPr>
                <w:rFonts w:ascii="Times New Roman" w:hAnsi="Times New Roman"/>
              </w:rPr>
              <w:t>53</w:t>
            </w:r>
          </w:p>
        </w:tc>
        <w:tc>
          <w:tcPr>
            <w:tcW w:w="1946" w:type="dxa"/>
            <w:noWrap/>
            <w:vAlign w:val="center"/>
          </w:tcPr>
          <w:p w14:paraId="05BA6074">
            <w:pPr>
              <w:spacing w:line="320" w:lineRule="exact"/>
              <w:jc w:val="center"/>
              <w:rPr>
                <w:rFonts w:hint="default" w:ascii="Times New Roman" w:hAnsi="Times New Roman" w:eastAsia="宋体"/>
                <w:lang w:val="en-US" w:eastAsia="zh-CN"/>
              </w:rPr>
            </w:pPr>
            <w:r>
              <w:rPr>
                <w:rFonts w:hint="eastAsia"/>
              </w:rPr>
              <w:t>51</w:t>
            </w:r>
          </w:p>
        </w:tc>
        <w:tc>
          <w:tcPr>
            <w:tcW w:w="1843" w:type="dxa"/>
            <w:noWrap/>
            <w:vAlign w:val="center"/>
          </w:tcPr>
          <w:p w14:paraId="2FB3E9AC">
            <w:pPr>
              <w:spacing w:line="320" w:lineRule="exact"/>
              <w:jc w:val="center"/>
              <w:rPr>
                <w:rFonts w:ascii="Times New Roman" w:hAnsi="Times New Roman"/>
              </w:rPr>
            </w:pPr>
            <w:r>
              <w:rPr>
                <w:rFonts w:hint="eastAsia"/>
              </w:rPr>
              <w:t>96.2</w:t>
            </w:r>
            <w:r>
              <w:t>%</w:t>
            </w:r>
          </w:p>
        </w:tc>
      </w:tr>
      <w:tr w14:paraId="26157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138" w:type="dxa"/>
            <w:noWrap/>
            <w:vAlign w:val="center"/>
          </w:tcPr>
          <w:p w14:paraId="142AE538">
            <w:pPr>
              <w:spacing w:line="320" w:lineRule="exact"/>
              <w:jc w:val="center"/>
              <w:rPr>
                <w:rFonts w:ascii="Times New Roman" w:hAnsi="Times New Roman"/>
              </w:rPr>
            </w:pPr>
            <w:r>
              <w:rPr>
                <w:rFonts w:hint="eastAsia" w:ascii="Times New Roman" w:hAnsi="Times New Roman"/>
              </w:rPr>
              <w:t>市场营销</w:t>
            </w:r>
          </w:p>
        </w:tc>
        <w:tc>
          <w:tcPr>
            <w:tcW w:w="1597" w:type="dxa"/>
            <w:noWrap/>
            <w:vAlign w:val="center"/>
          </w:tcPr>
          <w:p w14:paraId="11C54093">
            <w:pPr>
              <w:spacing w:line="320" w:lineRule="exact"/>
              <w:jc w:val="center"/>
              <w:rPr>
                <w:rFonts w:hint="eastAsia" w:ascii="Times New Roman" w:hAnsi="Times New Roman"/>
              </w:rPr>
            </w:pPr>
            <w:r>
              <w:rPr>
                <w:rFonts w:ascii="Times New Roman" w:hAnsi="Times New Roman"/>
              </w:rPr>
              <w:t>186</w:t>
            </w:r>
          </w:p>
        </w:tc>
        <w:tc>
          <w:tcPr>
            <w:tcW w:w="1946" w:type="dxa"/>
            <w:noWrap/>
            <w:vAlign w:val="center"/>
          </w:tcPr>
          <w:p w14:paraId="62C36EBF">
            <w:pPr>
              <w:spacing w:line="320" w:lineRule="exact"/>
              <w:jc w:val="center"/>
              <w:rPr>
                <w:rFonts w:hint="default" w:ascii="Times New Roman" w:hAnsi="Times New Roman" w:eastAsia="宋体"/>
                <w:lang w:val="en-US" w:eastAsia="zh-CN"/>
              </w:rPr>
            </w:pPr>
            <w:r>
              <w:t>1</w:t>
            </w:r>
            <w:r>
              <w:rPr>
                <w:rFonts w:hint="eastAsia"/>
              </w:rPr>
              <w:t>78</w:t>
            </w:r>
          </w:p>
        </w:tc>
        <w:tc>
          <w:tcPr>
            <w:tcW w:w="1843" w:type="dxa"/>
            <w:noWrap/>
            <w:vAlign w:val="center"/>
          </w:tcPr>
          <w:p w14:paraId="4F382AB6">
            <w:pPr>
              <w:spacing w:line="320" w:lineRule="exact"/>
              <w:jc w:val="center"/>
              <w:rPr>
                <w:rFonts w:ascii="Times New Roman" w:hAnsi="Times New Roman"/>
              </w:rPr>
            </w:pPr>
            <w:r>
              <w:rPr>
                <w:rFonts w:hint="eastAsia"/>
              </w:rPr>
              <w:t>95.7</w:t>
            </w:r>
            <w:r>
              <w:t>%</w:t>
            </w:r>
          </w:p>
        </w:tc>
      </w:tr>
      <w:tr w14:paraId="70E6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2138" w:type="dxa"/>
            <w:noWrap/>
            <w:vAlign w:val="center"/>
          </w:tcPr>
          <w:p w14:paraId="1C4573CB">
            <w:pPr>
              <w:spacing w:line="320" w:lineRule="exact"/>
              <w:jc w:val="center"/>
              <w:rPr>
                <w:rFonts w:ascii="Times New Roman" w:hAnsi="Times New Roman"/>
              </w:rPr>
            </w:pPr>
            <w:r>
              <w:rPr>
                <w:rFonts w:hint="eastAsia" w:ascii="Times New Roman" w:hAnsi="Times New Roman"/>
              </w:rPr>
              <w:t>旅游管理</w:t>
            </w:r>
          </w:p>
        </w:tc>
        <w:tc>
          <w:tcPr>
            <w:tcW w:w="1597" w:type="dxa"/>
            <w:noWrap/>
            <w:vAlign w:val="center"/>
          </w:tcPr>
          <w:p w14:paraId="240F22A8">
            <w:pPr>
              <w:spacing w:line="320" w:lineRule="exact"/>
              <w:jc w:val="center"/>
              <w:rPr>
                <w:rFonts w:hint="eastAsia" w:ascii="Times New Roman" w:hAnsi="Times New Roman"/>
              </w:rPr>
            </w:pPr>
            <w:r>
              <w:rPr>
                <w:rFonts w:ascii="Times New Roman" w:hAnsi="Times New Roman"/>
              </w:rPr>
              <w:t>135</w:t>
            </w:r>
          </w:p>
        </w:tc>
        <w:tc>
          <w:tcPr>
            <w:tcW w:w="1946" w:type="dxa"/>
            <w:noWrap/>
            <w:vAlign w:val="center"/>
          </w:tcPr>
          <w:p w14:paraId="38429E26">
            <w:pPr>
              <w:spacing w:line="320" w:lineRule="exact"/>
              <w:jc w:val="center"/>
              <w:rPr>
                <w:rFonts w:hint="eastAsia" w:ascii="Times New Roman" w:hAnsi="Times New Roman" w:eastAsia="宋体"/>
                <w:lang w:eastAsia="zh-CN"/>
              </w:rPr>
            </w:pPr>
            <w:r>
              <w:t>1</w:t>
            </w:r>
            <w:r>
              <w:rPr>
                <w:rFonts w:hint="eastAsia"/>
              </w:rPr>
              <w:t>30</w:t>
            </w:r>
          </w:p>
        </w:tc>
        <w:tc>
          <w:tcPr>
            <w:tcW w:w="1843" w:type="dxa"/>
            <w:noWrap/>
            <w:vAlign w:val="center"/>
          </w:tcPr>
          <w:p w14:paraId="2A2ED879">
            <w:pPr>
              <w:spacing w:line="320" w:lineRule="exact"/>
              <w:jc w:val="center"/>
              <w:rPr>
                <w:rFonts w:ascii="Times New Roman" w:hAnsi="Times New Roman"/>
              </w:rPr>
            </w:pPr>
            <w:r>
              <w:rPr>
                <w:rFonts w:hint="eastAsia"/>
              </w:rPr>
              <w:t>96.3</w:t>
            </w:r>
            <w:r>
              <w:t>%</w:t>
            </w:r>
          </w:p>
        </w:tc>
      </w:tr>
      <w:tr w14:paraId="564A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2138" w:type="dxa"/>
            <w:noWrap/>
            <w:vAlign w:val="center"/>
          </w:tcPr>
          <w:p w14:paraId="63D9BF43">
            <w:pPr>
              <w:spacing w:line="320" w:lineRule="exact"/>
              <w:jc w:val="center"/>
              <w:rPr>
                <w:rFonts w:ascii="Times New Roman" w:hAnsi="Times New Roman"/>
              </w:rPr>
            </w:pPr>
            <w:r>
              <w:rPr>
                <w:rFonts w:hint="eastAsia" w:ascii="Times New Roman" w:hAnsi="Times New Roman"/>
              </w:rPr>
              <w:t>电子商务</w:t>
            </w:r>
          </w:p>
        </w:tc>
        <w:tc>
          <w:tcPr>
            <w:tcW w:w="1597" w:type="dxa"/>
            <w:noWrap/>
            <w:vAlign w:val="center"/>
          </w:tcPr>
          <w:p w14:paraId="59682FF3">
            <w:pPr>
              <w:spacing w:line="320" w:lineRule="exact"/>
              <w:jc w:val="center"/>
              <w:rPr>
                <w:rFonts w:hint="eastAsia" w:ascii="Times New Roman" w:hAnsi="Times New Roman"/>
              </w:rPr>
            </w:pPr>
            <w:r>
              <w:rPr>
                <w:rFonts w:ascii="Times New Roman" w:hAnsi="Times New Roman"/>
              </w:rPr>
              <w:t>29</w:t>
            </w:r>
          </w:p>
        </w:tc>
        <w:tc>
          <w:tcPr>
            <w:tcW w:w="1946" w:type="dxa"/>
            <w:noWrap/>
            <w:vAlign w:val="center"/>
          </w:tcPr>
          <w:p w14:paraId="577F4FA7">
            <w:pPr>
              <w:spacing w:line="320" w:lineRule="exact"/>
              <w:jc w:val="center"/>
              <w:rPr>
                <w:rFonts w:hint="eastAsia" w:ascii="Times New Roman" w:hAnsi="Times New Roman" w:eastAsia="宋体"/>
                <w:lang w:eastAsia="zh-CN"/>
              </w:rPr>
            </w:pPr>
            <w:r>
              <w:t>2</w:t>
            </w:r>
            <w:r>
              <w:rPr>
                <w:rFonts w:hint="eastAsia"/>
              </w:rPr>
              <w:t>7</w:t>
            </w:r>
          </w:p>
        </w:tc>
        <w:tc>
          <w:tcPr>
            <w:tcW w:w="1843" w:type="dxa"/>
            <w:noWrap/>
            <w:vAlign w:val="center"/>
          </w:tcPr>
          <w:p w14:paraId="0C3F5948">
            <w:pPr>
              <w:spacing w:line="320" w:lineRule="exact"/>
              <w:jc w:val="center"/>
              <w:rPr>
                <w:rFonts w:ascii="Times New Roman" w:hAnsi="Times New Roman"/>
              </w:rPr>
            </w:pPr>
            <w:r>
              <w:rPr>
                <w:rFonts w:hint="eastAsia"/>
              </w:rPr>
              <w:t>93.1</w:t>
            </w:r>
            <w:r>
              <w:t>%</w:t>
            </w:r>
          </w:p>
        </w:tc>
      </w:tr>
      <w:tr w14:paraId="64122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138" w:type="dxa"/>
            <w:noWrap/>
            <w:vAlign w:val="center"/>
          </w:tcPr>
          <w:p w14:paraId="5CC1A632">
            <w:pPr>
              <w:spacing w:line="320" w:lineRule="exact"/>
              <w:jc w:val="center"/>
              <w:rPr>
                <w:rFonts w:ascii="Times New Roman" w:hAnsi="Times New Roman"/>
              </w:rPr>
            </w:pPr>
            <w:r>
              <w:rPr>
                <w:rFonts w:hint="eastAsia" w:ascii="Times New Roman" w:hAnsi="Times New Roman"/>
              </w:rPr>
              <w:t>国际经济与贸易</w:t>
            </w:r>
          </w:p>
        </w:tc>
        <w:tc>
          <w:tcPr>
            <w:tcW w:w="1597" w:type="dxa"/>
            <w:noWrap/>
            <w:vAlign w:val="center"/>
          </w:tcPr>
          <w:p w14:paraId="4B5D2F1D">
            <w:pPr>
              <w:spacing w:line="320" w:lineRule="exact"/>
              <w:jc w:val="center"/>
              <w:rPr>
                <w:rFonts w:hint="eastAsia" w:ascii="Times New Roman" w:hAnsi="Times New Roman"/>
              </w:rPr>
            </w:pPr>
            <w:r>
              <w:rPr>
                <w:rFonts w:ascii="Times New Roman" w:hAnsi="Times New Roman"/>
              </w:rPr>
              <w:t>179</w:t>
            </w:r>
          </w:p>
        </w:tc>
        <w:tc>
          <w:tcPr>
            <w:tcW w:w="1946" w:type="dxa"/>
            <w:noWrap/>
            <w:vAlign w:val="center"/>
          </w:tcPr>
          <w:p w14:paraId="65D653D6">
            <w:pPr>
              <w:spacing w:line="320" w:lineRule="exact"/>
              <w:jc w:val="center"/>
              <w:rPr>
                <w:rFonts w:hint="default" w:ascii="Times New Roman" w:hAnsi="Times New Roman" w:eastAsia="宋体"/>
                <w:lang w:val="en-US" w:eastAsia="zh-CN"/>
              </w:rPr>
            </w:pPr>
            <w:r>
              <w:rPr>
                <w:rFonts w:hint="eastAsia"/>
              </w:rPr>
              <w:t>169</w:t>
            </w:r>
          </w:p>
        </w:tc>
        <w:tc>
          <w:tcPr>
            <w:tcW w:w="1843" w:type="dxa"/>
            <w:noWrap/>
            <w:vAlign w:val="center"/>
          </w:tcPr>
          <w:p w14:paraId="7924331C">
            <w:pPr>
              <w:spacing w:line="320" w:lineRule="exact"/>
              <w:jc w:val="center"/>
              <w:rPr>
                <w:rFonts w:ascii="Times New Roman" w:hAnsi="Times New Roman"/>
              </w:rPr>
            </w:pPr>
            <w:r>
              <w:rPr>
                <w:rFonts w:hint="eastAsia"/>
              </w:rPr>
              <w:t>94.4</w:t>
            </w:r>
            <w:r>
              <w:t>%</w:t>
            </w:r>
          </w:p>
        </w:tc>
      </w:tr>
      <w:tr w14:paraId="4BCC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38" w:type="dxa"/>
            <w:noWrap/>
            <w:vAlign w:val="center"/>
          </w:tcPr>
          <w:p w14:paraId="713CDADF">
            <w:pPr>
              <w:spacing w:line="320" w:lineRule="exact"/>
              <w:jc w:val="center"/>
              <w:rPr>
                <w:rFonts w:ascii="Times New Roman" w:hAnsi="Times New Roman"/>
              </w:rPr>
            </w:pPr>
            <w:r>
              <w:rPr>
                <w:rFonts w:hint="eastAsia" w:ascii="Times New Roman" w:hAnsi="Times New Roman"/>
              </w:rPr>
              <w:t>物流管理</w:t>
            </w:r>
          </w:p>
        </w:tc>
        <w:tc>
          <w:tcPr>
            <w:tcW w:w="1597" w:type="dxa"/>
            <w:noWrap/>
            <w:vAlign w:val="center"/>
          </w:tcPr>
          <w:p w14:paraId="61BE0F62">
            <w:pPr>
              <w:spacing w:line="320" w:lineRule="exact"/>
              <w:jc w:val="center"/>
              <w:rPr>
                <w:rFonts w:hint="eastAsia" w:ascii="Times New Roman" w:hAnsi="Times New Roman"/>
              </w:rPr>
            </w:pPr>
            <w:r>
              <w:rPr>
                <w:rFonts w:ascii="Times New Roman" w:hAnsi="Times New Roman"/>
              </w:rPr>
              <w:t>79</w:t>
            </w:r>
          </w:p>
        </w:tc>
        <w:tc>
          <w:tcPr>
            <w:tcW w:w="1946" w:type="dxa"/>
            <w:noWrap/>
            <w:vAlign w:val="center"/>
          </w:tcPr>
          <w:p w14:paraId="0C57CC21">
            <w:pPr>
              <w:spacing w:line="320" w:lineRule="exact"/>
              <w:jc w:val="center"/>
              <w:rPr>
                <w:rFonts w:hint="eastAsia" w:ascii="Times New Roman" w:hAnsi="Times New Roman" w:eastAsia="宋体"/>
                <w:lang w:eastAsia="zh-CN"/>
              </w:rPr>
            </w:pPr>
            <w:r>
              <w:t>7</w:t>
            </w:r>
            <w:r>
              <w:rPr>
                <w:rFonts w:hint="eastAsia"/>
              </w:rPr>
              <w:t>4</w:t>
            </w:r>
          </w:p>
        </w:tc>
        <w:tc>
          <w:tcPr>
            <w:tcW w:w="1843" w:type="dxa"/>
            <w:noWrap/>
            <w:vAlign w:val="center"/>
          </w:tcPr>
          <w:p w14:paraId="18642B1C">
            <w:pPr>
              <w:spacing w:line="320" w:lineRule="exact"/>
              <w:jc w:val="center"/>
              <w:rPr>
                <w:rFonts w:ascii="Times New Roman" w:hAnsi="Times New Roman"/>
              </w:rPr>
            </w:pPr>
            <w:r>
              <w:rPr>
                <w:rFonts w:hint="eastAsia"/>
              </w:rPr>
              <w:t>93.7</w:t>
            </w:r>
            <w:r>
              <w:t>%</w:t>
            </w:r>
          </w:p>
        </w:tc>
      </w:tr>
      <w:tr w14:paraId="09EF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138" w:type="dxa"/>
            <w:noWrap/>
            <w:vAlign w:val="center"/>
          </w:tcPr>
          <w:p w14:paraId="17525603">
            <w:pPr>
              <w:spacing w:line="320" w:lineRule="exact"/>
              <w:jc w:val="center"/>
              <w:rPr>
                <w:rFonts w:ascii="Times New Roman" w:hAnsi="Times New Roman"/>
              </w:rPr>
            </w:pPr>
            <w:r>
              <w:rPr>
                <w:rFonts w:hint="eastAsia" w:ascii="Times New Roman" w:hAnsi="Times New Roman"/>
              </w:rPr>
              <w:t>金融工程</w:t>
            </w:r>
          </w:p>
        </w:tc>
        <w:tc>
          <w:tcPr>
            <w:tcW w:w="1597" w:type="dxa"/>
            <w:noWrap/>
            <w:vAlign w:val="center"/>
          </w:tcPr>
          <w:p w14:paraId="7431ED31">
            <w:pPr>
              <w:spacing w:line="320" w:lineRule="exact"/>
              <w:jc w:val="center"/>
              <w:rPr>
                <w:rFonts w:hint="eastAsia" w:ascii="Times New Roman" w:hAnsi="Times New Roman"/>
              </w:rPr>
            </w:pPr>
            <w:r>
              <w:rPr>
                <w:rFonts w:ascii="Times New Roman" w:hAnsi="Times New Roman"/>
              </w:rPr>
              <w:t>41</w:t>
            </w:r>
          </w:p>
        </w:tc>
        <w:tc>
          <w:tcPr>
            <w:tcW w:w="1946" w:type="dxa"/>
            <w:noWrap/>
            <w:vAlign w:val="center"/>
          </w:tcPr>
          <w:p w14:paraId="2D7B0324">
            <w:pPr>
              <w:spacing w:line="320" w:lineRule="exact"/>
              <w:jc w:val="center"/>
              <w:rPr>
                <w:rFonts w:ascii="Times New Roman" w:hAnsi="Times New Roman"/>
              </w:rPr>
            </w:pPr>
            <w:r>
              <w:t>39</w:t>
            </w:r>
          </w:p>
        </w:tc>
        <w:tc>
          <w:tcPr>
            <w:tcW w:w="1843" w:type="dxa"/>
            <w:noWrap/>
            <w:vAlign w:val="center"/>
          </w:tcPr>
          <w:p w14:paraId="1C9D4AC1">
            <w:pPr>
              <w:spacing w:line="320" w:lineRule="exact"/>
              <w:jc w:val="center"/>
              <w:rPr>
                <w:rFonts w:ascii="Times New Roman" w:hAnsi="Times New Roman"/>
              </w:rPr>
            </w:pPr>
            <w:r>
              <w:t>95.1%</w:t>
            </w:r>
          </w:p>
        </w:tc>
      </w:tr>
      <w:tr w14:paraId="43C3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2138" w:type="dxa"/>
            <w:noWrap/>
            <w:vAlign w:val="center"/>
          </w:tcPr>
          <w:p w14:paraId="56AEAE56">
            <w:pPr>
              <w:spacing w:line="320" w:lineRule="exact"/>
              <w:jc w:val="center"/>
              <w:rPr>
                <w:rFonts w:ascii="Times New Roman" w:hAnsi="Times New Roman"/>
              </w:rPr>
            </w:pPr>
            <w:r>
              <w:rPr>
                <w:rFonts w:hint="eastAsia" w:ascii="Times New Roman" w:hAnsi="Times New Roman"/>
              </w:rPr>
              <w:t>营销</w:t>
            </w:r>
            <w:r>
              <w:rPr>
                <w:rFonts w:ascii="Times New Roman" w:hAnsi="Times New Roman"/>
              </w:rPr>
              <w:t>2110</w:t>
            </w:r>
          </w:p>
        </w:tc>
        <w:tc>
          <w:tcPr>
            <w:tcW w:w="1597" w:type="dxa"/>
            <w:noWrap/>
            <w:vAlign w:val="center"/>
          </w:tcPr>
          <w:p w14:paraId="2130626D">
            <w:pPr>
              <w:spacing w:line="320" w:lineRule="exact"/>
              <w:jc w:val="center"/>
              <w:rPr>
                <w:rFonts w:hint="eastAsia" w:ascii="Times New Roman" w:hAnsi="Times New Roman"/>
              </w:rPr>
            </w:pPr>
            <w:r>
              <w:rPr>
                <w:rFonts w:ascii="Times New Roman" w:hAnsi="Times New Roman"/>
              </w:rPr>
              <w:t>18</w:t>
            </w:r>
          </w:p>
        </w:tc>
        <w:tc>
          <w:tcPr>
            <w:tcW w:w="1946" w:type="dxa"/>
            <w:noWrap/>
            <w:vAlign w:val="center"/>
          </w:tcPr>
          <w:p w14:paraId="4E584F46">
            <w:pPr>
              <w:spacing w:line="320" w:lineRule="exact"/>
              <w:jc w:val="center"/>
              <w:rPr>
                <w:rFonts w:ascii="Times New Roman" w:hAnsi="Times New Roman"/>
              </w:rPr>
            </w:pPr>
            <w:r>
              <w:t>15</w:t>
            </w:r>
          </w:p>
        </w:tc>
        <w:tc>
          <w:tcPr>
            <w:tcW w:w="1843" w:type="dxa"/>
            <w:noWrap/>
            <w:vAlign w:val="center"/>
          </w:tcPr>
          <w:p w14:paraId="18F93611">
            <w:pPr>
              <w:spacing w:line="320" w:lineRule="exact"/>
              <w:jc w:val="center"/>
              <w:rPr>
                <w:rFonts w:ascii="Times New Roman" w:hAnsi="Times New Roman"/>
              </w:rPr>
            </w:pPr>
            <w:r>
              <w:t>83.3%</w:t>
            </w:r>
          </w:p>
        </w:tc>
      </w:tr>
      <w:tr w14:paraId="60C41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138" w:type="dxa"/>
            <w:noWrap/>
            <w:vAlign w:val="center"/>
          </w:tcPr>
          <w:p w14:paraId="1E42CA03">
            <w:pPr>
              <w:spacing w:line="320" w:lineRule="exact"/>
              <w:jc w:val="center"/>
              <w:rPr>
                <w:rFonts w:ascii="Times New Roman" w:hAnsi="Times New Roman"/>
              </w:rPr>
            </w:pPr>
            <w:r>
              <w:rPr>
                <w:rFonts w:hint="eastAsia" w:ascii="Times New Roman" w:hAnsi="Times New Roman"/>
              </w:rPr>
              <w:t>合计</w:t>
            </w:r>
          </w:p>
        </w:tc>
        <w:tc>
          <w:tcPr>
            <w:tcW w:w="1597" w:type="dxa"/>
            <w:noWrap/>
            <w:vAlign w:val="center"/>
          </w:tcPr>
          <w:p w14:paraId="51B8CE4E">
            <w:pPr>
              <w:spacing w:line="320" w:lineRule="exact"/>
              <w:jc w:val="center"/>
              <w:rPr>
                <w:rFonts w:hint="eastAsia" w:ascii="Times New Roman" w:hAnsi="Times New Roman"/>
              </w:rPr>
            </w:pPr>
            <w:r>
              <w:rPr>
                <w:rFonts w:ascii="Times New Roman" w:hAnsi="Times New Roman"/>
              </w:rPr>
              <w:t>861</w:t>
            </w:r>
          </w:p>
        </w:tc>
        <w:tc>
          <w:tcPr>
            <w:tcW w:w="1946" w:type="dxa"/>
            <w:noWrap/>
            <w:vAlign w:val="center"/>
          </w:tcPr>
          <w:p w14:paraId="09DF90C5">
            <w:pPr>
              <w:spacing w:line="320" w:lineRule="exact"/>
              <w:jc w:val="center"/>
              <w:rPr>
                <w:rFonts w:hint="default" w:ascii="Times New Roman" w:hAnsi="Times New Roman" w:eastAsia="宋体"/>
                <w:lang w:val="en-US" w:eastAsia="zh-CN"/>
              </w:rPr>
            </w:pPr>
            <w:r>
              <w:rPr>
                <w:rFonts w:hint="eastAsia"/>
              </w:rPr>
              <w:t>821</w:t>
            </w:r>
          </w:p>
        </w:tc>
        <w:tc>
          <w:tcPr>
            <w:tcW w:w="1843" w:type="dxa"/>
            <w:noWrap/>
            <w:vAlign w:val="center"/>
          </w:tcPr>
          <w:p w14:paraId="507DB3C0">
            <w:pPr>
              <w:spacing w:line="320" w:lineRule="exact"/>
              <w:jc w:val="center"/>
              <w:rPr>
                <w:rFonts w:ascii="Times New Roman" w:hAnsi="Times New Roman"/>
              </w:rPr>
            </w:pPr>
            <w:r>
              <w:rPr>
                <w:rFonts w:hint="eastAsia"/>
              </w:rPr>
              <w:t>95.4</w:t>
            </w:r>
            <w:r>
              <w:t>%</w:t>
            </w:r>
          </w:p>
        </w:tc>
      </w:tr>
    </w:tbl>
    <w:p w14:paraId="1D337956">
      <w:pPr>
        <w:spacing w:line="580" w:lineRule="exact"/>
        <w:ind w:firstLine="602" w:firstLineChars="200"/>
        <w:contextualSpacing/>
        <w:rPr>
          <w:rFonts w:hint="eastAsia" w:ascii="仿宋" w:hAnsi="仿宋" w:eastAsia="仿宋" w:cs="仿宋"/>
          <w:color w:val="auto"/>
          <w:sz w:val="30"/>
          <w:szCs w:val="30"/>
          <w:highlight w:val="none"/>
        </w:rPr>
      </w:pPr>
      <w:r>
        <w:rPr>
          <w:rFonts w:hint="eastAsia" w:ascii="仿宋" w:hAnsi="仿宋" w:eastAsia="仿宋" w:cs="仿宋"/>
          <w:b/>
          <w:bCs w:val="0"/>
          <w:color w:val="auto"/>
          <w:sz w:val="30"/>
          <w:szCs w:val="30"/>
          <w:highlight w:val="none"/>
        </w:rPr>
        <w:t>五是强化队伍赋能，提升育人水平。</w:t>
      </w:r>
      <w:r>
        <w:rPr>
          <w:rFonts w:hint="eastAsia" w:ascii="仿宋" w:hAnsi="仿宋" w:eastAsia="仿宋" w:cs="仿宋"/>
          <w:color w:val="auto"/>
          <w:sz w:val="30"/>
          <w:szCs w:val="30"/>
          <w:highlight w:val="none"/>
        </w:rPr>
        <w:t>提升队伍专业素养</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以“政治强、业务精、纪律严、作风正”为标准，聚焦学生管理、谈心谈话等核心能力开展培训</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举办了商学院辅导员“微班课比赛”</w:t>
      </w:r>
      <w:r>
        <w:rPr>
          <w:rFonts w:hint="eastAsia" w:ascii="仿宋" w:hAnsi="仿宋" w:eastAsia="仿宋" w:cs="仿宋"/>
          <w:color w:val="auto"/>
          <w:sz w:val="30"/>
          <w:szCs w:val="30"/>
          <w:highlight w:val="none"/>
        </w:rPr>
        <w:t>；</w:t>
      </w:r>
      <w:r>
        <w:rPr>
          <w:rFonts w:hint="eastAsia" w:ascii="仿宋" w:hAnsi="仿宋" w:eastAsia="仿宋" w:cs="仿宋"/>
          <w:sz w:val="30"/>
          <w:szCs w:val="30"/>
        </w:rPr>
        <w:t>承办校级辅导员沙龙1场，举办学院辅导员读书会6场，开设辅导员网络学习课程3门，</w:t>
      </w:r>
      <w:r>
        <w:rPr>
          <w:rFonts w:hint="eastAsia" w:ascii="仿宋" w:hAnsi="仿宋" w:eastAsia="仿宋" w:cs="仿宋"/>
          <w:color w:val="auto"/>
          <w:sz w:val="30"/>
          <w:szCs w:val="30"/>
          <w:highlight w:val="none"/>
        </w:rPr>
        <w:t>搭建学习交流平台，促进共同成长。推动科研与工作融合</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鼓励辅导员结合实践开展科研，</w:t>
      </w:r>
      <w:r>
        <w:rPr>
          <w:rFonts w:hint="eastAsia" w:ascii="仿宋" w:hAnsi="仿宋" w:eastAsia="仿宋" w:cs="仿宋"/>
          <w:sz w:val="30"/>
          <w:szCs w:val="30"/>
        </w:rPr>
        <w:t>获评</w:t>
      </w:r>
      <w:r>
        <w:rPr>
          <w:rFonts w:hint="eastAsia" w:ascii="仿宋" w:hAnsi="仿宋" w:eastAsia="仿宋" w:cs="仿宋"/>
          <w:color w:val="auto"/>
          <w:sz w:val="30"/>
          <w:szCs w:val="30"/>
          <w:highlight w:val="none"/>
        </w:rPr>
        <w:t>江苏省高校哲学社会科学项目1项、盐城市社科项目4项（详见表3）。凸显育人实践成果</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辅导员专业能力与育人实效显著提升，1人获江苏省高校辅导员工作案例二等奖，1人</w:t>
      </w:r>
      <w:r>
        <w:rPr>
          <w:rFonts w:hint="eastAsia" w:ascii="仿宋" w:hAnsi="仿宋" w:eastAsia="仿宋" w:cs="仿宋"/>
          <w:sz w:val="30"/>
          <w:szCs w:val="30"/>
        </w:rPr>
        <w:t>获省级“信仰公开课”精品课程</w:t>
      </w:r>
      <w:r>
        <w:rPr>
          <w:rFonts w:hint="eastAsia" w:ascii="仿宋" w:hAnsi="仿宋" w:eastAsia="仿宋" w:cs="仿宋"/>
          <w:color w:val="auto"/>
          <w:sz w:val="30"/>
          <w:szCs w:val="30"/>
          <w:highlight w:val="none"/>
        </w:rPr>
        <w:t>，1人获江苏省易班优质公开课三等奖，1人获苏北地区高校心理健康教育教学竞赛一等奖，1人获学校微课教学比赛三等奖（详见表4）。</w:t>
      </w:r>
    </w:p>
    <w:tbl>
      <w:tblPr>
        <w:tblStyle w:val="14"/>
        <w:tblW w:w="8806"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0"/>
        <w:gridCol w:w="5681"/>
        <w:gridCol w:w="709"/>
        <w:gridCol w:w="1706"/>
      </w:tblGrid>
      <w:tr w14:paraId="78B4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8806" w:type="dxa"/>
            <w:gridSpan w:val="4"/>
            <w:tcBorders>
              <w:top w:val="nil"/>
              <w:left w:val="nil"/>
              <w:bottom w:val="single" w:color="auto" w:sz="4" w:space="0"/>
              <w:right w:val="nil"/>
            </w:tcBorders>
            <w:noWrap/>
            <w:vAlign w:val="center"/>
          </w:tcPr>
          <w:tbl>
            <w:tblPr>
              <w:tblStyle w:val="14"/>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1981"/>
              <w:gridCol w:w="802"/>
              <w:gridCol w:w="5124"/>
            </w:tblGrid>
            <w:tr w14:paraId="0602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590" w:type="dxa"/>
                  <w:gridSpan w:val="4"/>
                  <w:tcBorders>
                    <w:top w:val="nil"/>
                    <w:left w:val="nil"/>
                    <w:bottom w:val="single" w:color="auto" w:sz="4" w:space="0"/>
                    <w:right w:val="nil"/>
                  </w:tcBorders>
                  <w:noWrap/>
                  <w:vAlign w:val="top"/>
                </w:tcPr>
                <w:p w14:paraId="65F25DC4">
                  <w:pPr>
                    <w:spacing w:before="156" w:beforeLines="50" w:after="156" w:afterLines="50" w:line="360" w:lineRule="auto"/>
                    <w:jc w:val="center"/>
                    <w:rPr>
                      <w:rFonts w:ascii="Times New Roman" w:hAnsi="Times New Roman" w:eastAsia="仿宋_GB2312" w:cs="仿宋_GB2312"/>
                      <w:sz w:val="32"/>
                      <w:szCs w:val="32"/>
                    </w:rPr>
                  </w:pPr>
                  <w:r>
                    <w:rPr>
                      <w:rFonts w:hint="eastAsia" w:ascii="Times New Roman" w:hAnsi="Times New Roman" w:eastAsia="黑体" w:cs="黑体"/>
                      <w:sz w:val="24"/>
                    </w:rPr>
                    <w:t>表3  2025年</w:t>
                  </w:r>
                  <w:r>
                    <w:rPr>
                      <w:rFonts w:hint="eastAsia" w:eastAsia="黑体" w:cs="黑体"/>
                      <w:sz w:val="24"/>
                      <w:lang w:val="en-US" w:eastAsia="zh-CN"/>
                    </w:rPr>
                    <w:t>商学院</w:t>
                  </w:r>
                  <w:r>
                    <w:rPr>
                      <w:rFonts w:hint="eastAsia" w:ascii="Times New Roman" w:hAnsi="Times New Roman" w:eastAsia="黑体" w:cs="黑体"/>
                      <w:sz w:val="24"/>
                    </w:rPr>
                    <w:t>辅导员科研成果一览表</w:t>
                  </w:r>
                </w:p>
              </w:tc>
            </w:tr>
            <w:tr w14:paraId="1D3D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674" w:type="dxa"/>
                  <w:tcBorders>
                    <w:top w:val="single" w:color="auto" w:sz="4" w:space="0"/>
                    <w:left w:val="single" w:color="auto" w:sz="4" w:space="0"/>
                    <w:bottom w:val="single" w:color="auto" w:sz="4" w:space="0"/>
                    <w:right w:val="single" w:color="auto" w:sz="4" w:space="0"/>
                  </w:tcBorders>
                  <w:noWrap/>
                  <w:vAlign w:val="center"/>
                </w:tcPr>
                <w:p w14:paraId="3E2403F5">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序号</w:t>
                  </w:r>
                </w:p>
              </w:tc>
              <w:tc>
                <w:tcPr>
                  <w:tcW w:w="1983" w:type="dxa"/>
                  <w:tcBorders>
                    <w:top w:val="single" w:color="auto" w:sz="4" w:space="0"/>
                    <w:left w:val="single" w:color="auto" w:sz="4" w:space="0"/>
                    <w:bottom w:val="single" w:color="auto" w:sz="4" w:space="0"/>
                    <w:right w:val="single" w:color="auto" w:sz="4" w:space="0"/>
                  </w:tcBorders>
                  <w:noWrap/>
                  <w:vAlign w:val="center"/>
                </w:tcPr>
                <w:p w14:paraId="4CDE37B8">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类型</w:t>
                  </w:r>
                </w:p>
              </w:tc>
              <w:tc>
                <w:tcPr>
                  <w:tcW w:w="803" w:type="dxa"/>
                  <w:tcBorders>
                    <w:top w:val="single" w:color="auto" w:sz="4" w:space="0"/>
                    <w:left w:val="single" w:color="auto" w:sz="4" w:space="0"/>
                    <w:bottom w:val="single" w:color="auto" w:sz="4" w:space="0"/>
                    <w:right w:val="single" w:color="auto" w:sz="4" w:space="0"/>
                  </w:tcBorders>
                  <w:noWrap/>
                  <w:vAlign w:val="center"/>
                </w:tcPr>
                <w:p w14:paraId="739BC27D">
                  <w:pPr>
                    <w:spacing w:line="320" w:lineRule="exact"/>
                    <w:jc w:val="center"/>
                    <w:rPr>
                      <w:rFonts w:hint="eastAsia" w:ascii="Times New Roman" w:hAnsi="Times New Roman" w:cs="宋体"/>
                      <w:b/>
                      <w:color w:val="000000"/>
                      <w:szCs w:val="21"/>
                    </w:rPr>
                  </w:pPr>
                  <w:r>
                    <w:rPr>
                      <w:rFonts w:hint="eastAsia" w:ascii="Times New Roman" w:hAnsi="Times New Roman" w:cs="宋体"/>
                      <w:b/>
                      <w:color w:val="000000"/>
                      <w:szCs w:val="21"/>
                    </w:rPr>
                    <w:t>合计</w:t>
                  </w:r>
                </w:p>
              </w:tc>
              <w:tc>
                <w:tcPr>
                  <w:tcW w:w="5130" w:type="dxa"/>
                  <w:tcBorders>
                    <w:top w:val="single" w:color="auto" w:sz="4" w:space="0"/>
                    <w:left w:val="single" w:color="auto" w:sz="4" w:space="0"/>
                    <w:bottom w:val="single" w:color="auto" w:sz="4" w:space="0"/>
                    <w:right w:val="single" w:color="auto" w:sz="4" w:space="0"/>
                  </w:tcBorders>
                  <w:noWrap/>
                  <w:vAlign w:val="center"/>
                </w:tcPr>
                <w:p w14:paraId="711AF38E">
                  <w:pPr>
                    <w:spacing w:line="320" w:lineRule="exact"/>
                    <w:jc w:val="center"/>
                    <w:rPr>
                      <w:rFonts w:ascii="Times New Roman" w:hAnsi="Times New Roman" w:cs="宋体"/>
                      <w:b/>
                      <w:color w:val="000000"/>
                      <w:szCs w:val="21"/>
                    </w:rPr>
                  </w:pPr>
                  <w:r>
                    <w:rPr>
                      <w:rFonts w:hint="eastAsia" w:ascii="Times New Roman" w:hAnsi="Times New Roman" w:cs="宋体"/>
                      <w:b/>
                      <w:color w:val="000000"/>
                      <w:szCs w:val="21"/>
                    </w:rPr>
                    <w:t>项目名称及负责人</w:t>
                  </w:r>
                </w:p>
              </w:tc>
            </w:tr>
            <w:tr w14:paraId="7E8A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74" w:type="dxa"/>
                  <w:tcBorders>
                    <w:top w:val="single" w:color="auto" w:sz="4" w:space="0"/>
                    <w:left w:val="single" w:color="auto" w:sz="4" w:space="0"/>
                    <w:bottom w:val="single" w:color="auto" w:sz="4" w:space="0"/>
                    <w:right w:val="single" w:color="auto" w:sz="4" w:space="0"/>
                  </w:tcBorders>
                  <w:noWrap/>
                  <w:vAlign w:val="center"/>
                </w:tcPr>
                <w:p w14:paraId="5C0DAD04">
                  <w:pPr>
                    <w:spacing w:line="320" w:lineRule="exact"/>
                    <w:jc w:val="center"/>
                    <w:rPr>
                      <w:rFonts w:ascii="Times New Roman" w:hAnsi="Times New Roman" w:cs="宋体"/>
                      <w:color w:val="000000"/>
                      <w:szCs w:val="21"/>
                    </w:rPr>
                  </w:pPr>
                  <w:r>
                    <w:rPr>
                      <w:rFonts w:hint="eastAsia" w:ascii="Times New Roman" w:hAnsi="Times New Roman"/>
                    </w:rPr>
                    <w:t>1</w:t>
                  </w:r>
                </w:p>
              </w:tc>
              <w:tc>
                <w:tcPr>
                  <w:tcW w:w="1983" w:type="dxa"/>
                  <w:tcBorders>
                    <w:top w:val="single" w:color="auto" w:sz="4" w:space="0"/>
                    <w:left w:val="single" w:color="auto" w:sz="4" w:space="0"/>
                    <w:bottom w:val="single" w:color="auto" w:sz="4" w:space="0"/>
                    <w:right w:val="single" w:color="auto" w:sz="4" w:space="0"/>
                  </w:tcBorders>
                  <w:noWrap/>
                  <w:vAlign w:val="center"/>
                </w:tcPr>
                <w:p w14:paraId="082309F7">
                  <w:pPr>
                    <w:spacing w:line="320" w:lineRule="exact"/>
                    <w:jc w:val="center"/>
                    <w:rPr>
                      <w:rFonts w:hint="eastAsia" w:ascii="Times New Roman" w:hAnsi="Times New Roman" w:cs="宋体"/>
                      <w:color w:val="000000"/>
                      <w:szCs w:val="21"/>
                    </w:rPr>
                  </w:pPr>
                  <w:r>
                    <w:rPr>
                      <w:rFonts w:hint="eastAsia" w:ascii="Times New Roman" w:hAnsi="Times New Roman"/>
                    </w:rPr>
                    <w:t>江苏高校哲学社会科学研究项目</w:t>
                  </w:r>
                </w:p>
              </w:tc>
              <w:tc>
                <w:tcPr>
                  <w:tcW w:w="803" w:type="dxa"/>
                  <w:tcBorders>
                    <w:top w:val="single" w:color="auto" w:sz="4" w:space="0"/>
                    <w:left w:val="single" w:color="auto" w:sz="4" w:space="0"/>
                    <w:bottom w:val="single" w:color="auto" w:sz="4" w:space="0"/>
                    <w:right w:val="single" w:color="auto" w:sz="4" w:space="0"/>
                  </w:tcBorders>
                  <w:noWrap/>
                  <w:vAlign w:val="center"/>
                </w:tcPr>
                <w:p w14:paraId="1D5827AB">
                  <w:pPr>
                    <w:spacing w:line="320" w:lineRule="exact"/>
                    <w:jc w:val="center"/>
                    <w:rPr>
                      <w:rFonts w:ascii="Times New Roman" w:hAnsi="Times New Roman" w:cs="宋体"/>
                      <w:color w:val="000000"/>
                      <w:szCs w:val="21"/>
                    </w:rPr>
                  </w:pPr>
                  <w:r>
                    <w:rPr>
                      <w:rFonts w:ascii="Times New Roman" w:hAnsi="Times New Roman" w:cs="宋体"/>
                      <w:color w:val="000000"/>
                      <w:szCs w:val="21"/>
                    </w:rPr>
                    <w:t>1</w:t>
                  </w:r>
                  <w:r>
                    <w:rPr>
                      <w:rFonts w:hint="eastAsia" w:ascii="Times New Roman" w:hAnsi="Times New Roman" w:cs="宋体"/>
                      <w:color w:val="000000"/>
                      <w:szCs w:val="21"/>
                    </w:rPr>
                    <w:t>项</w:t>
                  </w:r>
                </w:p>
              </w:tc>
              <w:tc>
                <w:tcPr>
                  <w:tcW w:w="5130" w:type="dxa"/>
                  <w:tcBorders>
                    <w:top w:val="single" w:color="auto" w:sz="4" w:space="0"/>
                    <w:left w:val="single" w:color="auto" w:sz="4" w:space="0"/>
                    <w:bottom w:val="single" w:color="auto" w:sz="4" w:space="0"/>
                    <w:right w:val="single" w:color="auto" w:sz="4" w:space="0"/>
                  </w:tcBorders>
                  <w:noWrap/>
                  <w:vAlign w:val="top"/>
                </w:tcPr>
                <w:p w14:paraId="6B1D5D1E">
                  <w:pPr>
                    <w:spacing w:line="320" w:lineRule="exact"/>
                    <w:rPr>
                      <w:rFonts w:hint="eastAsia" w:ascii="Times New Roman" w:hAnsi="Times New Roman" w:cs="宋体"/>
                      <w:color w:val="000000"/>
                      <w:szCs w:val="21"/>
                    </w:rPr>
                  </w:pPr>
                  <w:r>
                    <w:rPr>
                      <w:rFonts w:hint="eastAsia" w:ascii="Times New Roman" w:hAnsi="Times New Roman" w:cs="宋体"/>
                      <w:color w:val="000000"/>
                      <w:szCs w:val="21"/>
                    </w:rPr>
                    <w:t>孙晓慧：网络“圈层化”视域下大学生就业观培塑研究</w:t>
                  </w:r>
                </w:p>
              </w:tc>
            </w:tr>
            <w:tr w14:paraId="5DC17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674" w:type="dxa"/>
                  <w:tcBorders>
                    <w:top w:val="single" w:color="auto" w:sz="4" w:space="0"/>
                    <w:left w:val="single" w:color="auto" w:sz="4" w:space="0"/>
                    <w:bottom w:val="single" w:color="auto" w:sz="4" w:space="0"/>
                    <w:right w:val="single" w:color="auto" w:sz="4" w:space="0"/>
                  </w:tcBorders>
                  <w:noWrap/>
                  <w:vAlign w:val="center"/>
                </w:tcPr>
                <w:p w14:paraId="22E8B8BA">
                  <w:pPr>
                    <w:spacing w:line="320" w:lineRule="exact"/>
                    <w:jc w:val="center"/>
                    <w:rPr>
                      <w:rFonts w:ascii="Times New Roman" w:hAnsi="Times New Roman" w:cs="宋体"/>
                      <w:color w:val="000000"/>
                      <w:szCs w:val="21"/>
                    </w:rPr>
                  </w:pPr>
                  <w:r>
                    <w:rPr>
                      <w:rFonts w:hint="eastAsia" w:ascii="Times New Roman" w:hAnsi="Times New Roman"/>
                    </w:rPr>
                    <w:t>2</w:t>
                  </w:r>
                </w:p>
              </w:tc>
              <w:tc>
                <w:tcPr>
                  <w:tcW w:w="1983" w:type="dxa"/>
                  <w:tcBorders>
                    <w:top w:val="single" w:color="auto" w:sz="4" w:space="0"/>
                    <w:left w:val="single" w:color="auto" w:sz="4" w:space="0"/>
                    <w:bottom w:val="single" w:color="auto" w:sz="4" w:space="0"/>
                    <w:right w:val="single" w:color="auto" w:sz="4" w:space="0"/>
                  </w:tcBorders>
                  <w:noWrap/>
                  <w:vAlign w:val="center"/>
                </w:tcPr>
                <w:p w14:paraId="28CFE1D5">
                  <w:pPr>
                    <w:spacing w:line="320" w:lineRule="exact"/>
                    <w:jc w:val="center"/>
                    <w:rPr>
                      <w:rFonts w:hint="eastAsia" w:ascii="Times New Roman" w:hAnsi="Times New Roman" w:cs="宋体"/>
                      <w:color w:val="000000"/>
                      <w:szCs w:val="21"/>
                    </w:rPr>
                  </w:pPr>
                  <w:r>
                    <w:rPr>
                      <w:rFonts w:hint="eastAsia" w:ascii="Times New Roman" w:hAnsi="Times New Roman"/>
                    </w:rPr>
                    <w:t>盐城市社科基金项目</w:t>
                  </w:r>
                </w:p>
              </w:tc>
              <w:tc>
                <w:tcPr>
                  <w:tcW w:w="803" w:type="dxa"/>
                  <w:tcBorders>
                    <w:top w:val="single" w:color="auto" w:sz="4" w:space="0"/>
                    <w:left w:val="single" w:color="auto" w:sz="4" w:space="0"/>
                    <w:bottom w:val="single" w:color="auto" w:sz="4" w:space="0"/>
                    <w:right w:val="single" w:color="auto" w:sz="4" w:space="0"/>
                  </w:tcBorders>
                  <w:noWrap/>
                  <w:vAlign w:val="center"/>
                </w:tcPr>
                <w:p w14:paraId="37B4B7D5">
                  <w:pPr>
                    <w:spacing w:line="320" w:lineRule="exact"/>
                    <w:jc w:val="center"/>
                    <w:rPr>
                      <w:rFonts w:ascii="Times New Roman" w:hAnsi="Times New Roman" w:cs="宋体"/>
                      <w:color w:val="000000"/>
                      <w:szCs w:val="21"/>
                    </w:rPr>
                  </w:pPr>
                  <w:r>
                    <w:rPr>
                      <w:rFonts w:hint="eastAsia" w:ascii="Times New Roman" w:hAnsi="Times New Roman" w:cs="宋体"/>
                      <w:color w:val="000000"/>
                      <w:szCs w:val="21"/>
                    </w:rPr>
                    <w:t>4项</w:t>
                  </w:r>
                </w:p>
              </w:tc>
              <w:tc>
                <w:tcPr>
                  <w:tcW w:w="5130" w:type="dxa"/>
                  <w:tcBorders>
                    <w:top w:val="single" w:color="auto" w:sz="4" w:space="0"/>
                    <w:left w:val="single" w:color="auto" w:sz="4" w:space="0"/>
                    <w:bottom w:val="single" w:color="auto" w:sz="4" w:space="0"/>
                    <w:right w:val="single" w:color="auto" w:sz="4" w:space="0"/>
                  </w:tcBorders>
                  <w:noWrap/>
                  <w:vAlign w:val="top"/>
                </w:tcPr>
                <w:p w14:paraId="7BDDA0FE">
                  <w:pPr>
                    <w:spacing w:line="320" w:lineRule="exact"/>
                    <w:rPr>
                      <w:rFonts w:ascii="Times New Roman" w:hAnsi="Times New Roman" w:cs="宋体"/>
                      <w:color w:val="000000"/>
                      <w:szCs w:val="21"/>
                    </w:rPr>
                  </w:pPr>
                  <w:r>
                    <w:rPr>
                      <w:rFonts w:hint="eastAsia" w:ascii="Times New Roman" w:hAnsi="Times New Roman" w:cs="宋体"/>
                      <w:color w:val="000000"/>
                      <w:szCs w:val="21"/>
                    </w:rPr>
                    <w:t>耿明：盐城市农村老年群体数字素养鸿沟及其弥合研究</w:t>
                  </w:r>
                </w:p>
                <w:p w14:paraId="26290545">
                  <w:pPr>
                    <w:spacing w:line="320" w:lineRule="exact"/>
                    <w:rPr>
                      <w:rFonts w:hint="eastAsia" w:ascii="Times New Roman" w:hAnsi="Times New Roman" w:cs="宋体"/>
                      <w:color w:val="000000"/>
                      <w:szCs w:val="21"/>
                    </w:rPr>
                  </w:pPr>
                  <w:r>
                    <w:rPr>
                      <w:rFonts w:hint="eastAsia" w:ascii="Times New Roman" w:hAnsi="Times New Roman" w:cs="宋体"/>
                      <w:color w:val="000000"/>
                      <w:szCs w:val="21"/>
                    </w:rPr>
                    <w:t>孙晓慧：海洋牧场建设的国内外经验及对盐城的启示</w:t>
                  </w:r>
                </w:p>
                <w:p w14:paraId="59F4D2C2">
                  <w:pPr>
                    <w:spacing w:line="320" w:lineRule="exact"/>
                    <w:rPr>
                      <w:rFonts w:ascii="Times New Roman" w:hAnsi="Times New Roman" w:cs="宋体"/>
                      <w:color w:val="000000"/>
                      <w:szCs w:val="21"/>
                    </w:rPr>
                  </w:pPr>
                  <w:r>
                    <w:rPr>
                      <w:rFonts w:hint="eastAsia" w:ascii="Times New Roman" w:hAnsi="Times New Roman" w:cs="宋体"/>
                      <w:color w:val="000000"/>
                      <w:szCs w:val="21"/>
                    </w:rPr>
                    <w:t>吴纪昊：“盐之有味”农产品区域公用品牌运营机制与整合研究</w:t>
                  </w:r>
                </w:p>
                <w:p w14:paraId="6FCFC5DF">
                  <w:pPr>
                    <w:spacing w:line="320" w:lineRule="exact"/>
                    <w:rPr>
                      <w:rFonts w:hint="eastAsia" w:ascii="Times New Roman" w:hAnsi="Times New Roman" w:cs="宋体"/>
                      <w:color w:val="000000"/>
                      <w:szCs w:val="21"/>
                    </w:rPr>
                  </w:pPr>
                  <w:r>
                    <w:rPr>
                      <w:rFonts w:hint="eastAsia" w:ascii="Times New Roman" w:hAnsi="Times New Roman" w:cs="宋体"/>
                      <w:color w:val="000000"/>
                      <w:szCs w:val="21"/>
                    </w:rPr>
                    <w:t>王强：数字经济赋能盐城市县区经济韧性的影响机制研究</w:t>
                  </w:r>
                </w:p>
              </w:tc>
            </w:tr>
          </w:tbl>
          <w:p w14:paraId="14E2D725">
            <w:pPr>
              <w:spacing w:before="156" w:beforeLines="50" w:after="156" w:afterLines="50" w:line="360" w:lineRule="auto"/>
              <w:jc w:val="center"/>
              <w:rPr>
                <w:rFonts w:ascii="Times New Roman" w:hAnsi="Times New Roman"/>
              </w:rPr>
            </w:pPr>
            <w:r>
              <w:rPr>
                <w:rFonts w:hint="eastAsia" w:ascii="Times New Roman" w:hAnsi="Times New Roman" w:eastAsia="黑体" w:cs="黑体"/>
                <w:sz w:val="24"/>
              </w:rPr>
              <w:t>表4  2025年</w:t>
            </w:r>
            <w:r>
              <w:rPr>
                <w:rFonts w:hint="eastAsia" w:eastAsia="黑体" w:cs="黑体"/>
                <w:sz w:val="24"/>
                <w:lang w:val="en-US" w:eastAsia="zh-CN"/>
              </w:rPr>
              <w:t>商学院</w:t>
            </w:r>
            <w:r>
              <w:rPr>
                <w:rFonts w:hint="eastAsia" w:ascii="Times New Roman" w:hAnsi="Times New Roman" w:eastAsia="黑体" w:cs="黑体"/>
                <w:sz w:val="24"/>
              </w:rPr>
              <w:t>学工队伍获奖情况一览表</w:t>
            </w:r>
          </w:p>
        </w:tc>
      </w:tr>
      <w:tr w14:paraId="476E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7B35DACC">
            <w:pPr>
              <w:jc w:val="center"/>
              <w:rPr>
                <w:rFonts w:ascii="Times New Roman" w:hAnsi="Times New Roman"/>
                <w:b/>
                <w:bCs/>
                <w:szCs w:val="21"/>
              </w:rPr>
            </w:pPr>
            <w:r>
              <w:rPr>
                <w:rFonts w:hint="eastAsia" w:ascii="Times New Roman" w:hAnsi="Times New Roman"/>
                <w:b/>
                <w:bCs/>
                <w:szCs w:val="21"/>
              </w:rPr>
              <w:t>序号</w:t>
            </w:r>
          </w:p>
        </w:tc>
        <w:tc>
          <w:tcPr>
            <w:tcW w:w="5682" w:type="dxa"/>
            <w:tcBorders>
              <w:top w:val="single" w:color="auto" w:sz="4" w:space="0"/>
              <w:left w:val="single" w:color="auto" w:sz="4" w:space="0"/>
              <w:bottom w:val="single" w:color="auto" w:sz="4" w:space="0"/>
              <w:right w:val="single" w:color="auto" w:sz="4" w:space="0"/>
            </w:tcBorders>
            <w:noWrap/>
            <w:vAlign w:val="center"/>
          </w:tcPr>
          <w:p w14:paraId="4280B88D">
            <w:pPr>
              <w:jc w:val="center"/>
              <w:rPr>
                <w:rFonts w:ascii="Times New Roman" w:hAnsi="Times New Roman"/>
                <w:b/>
                <w:bCs/>
                <w:szCs w:val="21"/>
              </w:rPr>
            </w:pPr>
            <w:r>
              <w:rPr>
                <w:rFonts w:hint="eastAsia" w:ascii="Times New Roman" w:hAnsi="Times New Roman"/>
                <w:b/>
                <w:bCs/>
                <w:szCs w:val="21"/>
              </w:rPr>
              <w:t>获奖名称</w:t>
            </w:r>
          </w:p>
        </w:tc>
        <w:tc>
          <w:tcPr>
            <w:tcW w:w="709" w:type="dxa"/>
            <w:tcBorders>
              <w:top w:val="single" w:color="auto" w:sz="4" w:space="0"/>
              <w:left w:val="single" w:color="auto" w:sz="4" w:space="0"/>
              <w:bottom w:val="single" w:color="auto" w:sz="4" w:space="0"/>
              <w:right w:val="single" w:color="auto" w:sz="4" w:space="0"/>
            </w:tcBorders>
            <w:noWrap/>
            <w:vAlign w:val="center"/>
          </w:tcPr>
          <w:p w14:paraId="317C3E11">
            <w:pPr>
              <w:jc w:val="center"/>
              <w:rPr>
                <w:rFonts w:ascii="Times New Roman" w:hAnsi="Times New Roman"/>
                <w:b/>
                <w:bCs/>
                <w:szCs w:val="21"/>
              </w:rPr>
            </w:pPr>
            <w:r>
              <w:rPr>
                <w:rFonts w:hint="eastAsia" w:ascii="Times New Roman" w:hAnsi="Times New Roman"/>
                <w:b/>
                <w:bCs/>
                <w:szCs w:val="21"/>
              </w:rPr>
              <w:t>获奖级别</w:t>
            </w:r>
          </w:p>
        </w:tc>
        <w:tc>
          <w:tcPr>
            <w:tcW w:w="1705" w:type="dxa"/>
            <w:tcBorders>
              <w:top w:val="single" w:color="auto" w:sz="4" w:space="0"/>
              <w:left w:val="single" w:color="auto" w:sz="4" w:space="0"/>
              <w:bottom w:val="single" w:color="auto" w:sz="4" w:space="0"/>
              <w:right w:val="single" w:color="auto" w:sz="4" w:space="0"/>
            </w:tcBorders>
            <w:noWrap/>
            <w:vAlign w:val="center"/>
          </w:tcPr>
          <w:p w14:paraId="38EA8430">
            <w:pPr>
              <w:jc w:val="center"/>
              <w:rPr>
                <w:rFonts w:hint="eastAsia" w:ascii="Times New Roman" w:hAnsi="Times New Roman"/>
                <w:b/>
                <w:bCs/>
                <w:szCs w:val="21"/>
              </w:rPr>
            </w:pPr>
            <w:r>
              <w:rPr>
                <w:rFonts w:hint="eastAsia" w:ascii="Times New Roman" w:hAnsi="Times New Roman"/>
                <w:b/>
                <w:bCs/>
                <w:szCs w:val="21"/>
              </w:rPr>
              <w:t>获奖者</w:t>
            </w:r>
          </w:p>
        </w:tc>
      </w:tr>
      <w:tr w14:paraId="4171C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58A60DE4">
            <w:pPr>
              <w:jc w:val="center"/>
              <w:rPr>
                <w:rFonts w:ascii="Times New Roman" w:hAnsi="Times New Roman"/>
                <w:szCs w:val="21"/>
              </w:rPr>
            </w:pPr>
            <w:r>
              <w:rPr>
                <w:rFonts w:hint="eastAsia" w:ascii="Times New Roman" w:hAnsi="Times New Roman"/>
                <w:szCs w:val="21"/>
              </w:rPr>
              <w:t>1</w:t>
            </w:r>
          </w:p>
        </w:tc>
        <w:tc>
          <w:tcPr>
            <w:tcW w:w="5682" w:type="dxa"/>
            <w:tcBorders>
              <w:top w:val="single" w:color="auto" w:sz="4" w:space="0"/>
              <w:left w:val="single" w:color="auto" w:sz="4" w:space="0"/>
              <w:bottom w:val="single" w:color="auto" w:sz="4" w:space="0"/>
              <w:right w:val="single" w:color="auto" w:sz="4" w:space="0"/>
            </w:tcBorders>
            <w:noWrap/>
            <w:vAlign w:val="center"/>
          </w:tcPr>
          <w:p w14:paraId="55BB93A4">
            <w:pPr>
              <w:jc w:val="center"/>
              <w:rPr>
                <w:rFonts w:hint="eastAsia" w:ascii="Times New Roman" w:hAnsi="Times New Roman"/>
                <w:szCs w:val="21"/>
              </w:rPr>
            </w:pPr>
            <w:r>
              <w:rPr>
                <w:rFonts w:hint="eastAsia" w:ascii="Times New Roman" w:hAnsi="Times New Roman"/>
                <w:szCs w:val="21"/>
              </w:rPr>
              <w:t>江苏省高校辅导员工作案例二等奖</w:t>
            </w:r>
          </w:p>
        </w:tc>
        <w:tc>
          <w:tcPr>
            <w:tcW w:w="709" w:type="dxa"/>
            <w:tcBorders>
              <w:top w:val="single" w:color="auto" w:sz="4" w:space="0"/>
              <w:left w:val="single" w:color="auto" w:sz="4" w:space="0"/>
              <w:bottom w:val="single" w:color="auto" w:sz="4" w:space="0"/>
              <w:right w:val="single" w:color="auto" w:sz="4" w:space="0"/>
            </w:tcBorders>
            <w:noWrap/>
            <w:vAlign w:val="center"/>
          </w:tcPr>
          <w:p w14:paraId="798F2DF1">
            <w:pPr>
              <w:jc w:val="center"/>
              <w:rPr>
                <w:rFonts w:hint="eastAsia" w:ascii="Times New Roman" w:hAnsi="Times New Roman"/>
                <w:szCs w:val="21"/>
              </w:rPr>
            </w:pPr>
            <w:r>
              <w:rPr>
                <w:rFonts w:hint="eastAsia" w:ascii="Times New Roman" w:hAnsi="Times New Roman"/>
                <w:szCs w:val="21"/>
              </w:rPr>
              <w:t>省级</w:t>
            </w:r>
          </w:p>
        </w:tc>
        <w:tc>
          <w:tcPr>
            <w:tcW w:w="1705" w:type="dxa"/>
            <w:tcBorders>
              <w:top w:val="single" w:color="auto" w:sz="4" w:space="0"/>
              <w:left w:val="single" w:color="auto" w:sz="4" w:space="0"/>
              <w:bottom w:val="single" w:color="auto" w:sz="4" w:space="0"/>
              <w:right w:val="single" w:color="auto" w:sz="4" w:space="0"/>
            </w:tcBorders>
            <w:noWrap/>
            <w:vAlign w:val="center"/>
          </w:tcPr>
          <w:p w14:paraId="66A2A264">
            <w:pPr>
              <w:jc w:val="center"/>
              <w:rPr>
                <w:rFonts w:hint="eastAsia" w:ascii="Times New Roman" w:hAnsi="Times New Roman"/>
                <w:szCs w:val="21"/>
              </w:rPr>
            </w:pPr>
            <w:r>
              <w:rPr>
                <w:rFonts w:hint="eastAsia" w:ascii="Times New Roman" w:hAnsi="Times New Roman"/>
                <w:szCs w:val="21"/>
              </w:rPr>
              <w:t>秦圣阳</w:t>
            </w:r>
          </w:p>
        </w:tc>
      </w:tr>
      <w:tr w14:paraId="169D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61E6B3FD">
            <w:pPr>
              <w:jc w:val="center"/>
              <w:rPr>
                <w:rFonts w:ascii="Times New Roman" w:hAnsi="Times New Roman"/>
                <w:szCs w:val="21"/>
              </w:rPr>
            </w:pPr>
            <w:r>
              <w:rPr>
                <w:rFonts w:hint="eastAsia" w:ascii="Times New Roman" w:hAnsi="Times New Roman"/>
                <w:szCs w:val="21"/>
              </w:rPr>
              <w:t>2</w:t>
            </w:r>
          </w:p>
        </w:tc>
        <w:tc>
          <w:tcPr>
            <w:tcW w:w="5682" w:type="dxa"/>
            <w:tcBorders>
              <w:top w:val="single" w:color="auto" w:sz="4" w:space="0"/>
              <w:left w:val="single" w:color="auto" w:sz="4" w:space="0"/>
              <w:bottom w:val="single" w:color="auto" w:sz="4" w:space="0"/>
              <w:right w:val="single" w:color="auto" w:sz="4" w:space="0"/>
            </w:tcBorders>
            <w:noWrap/>
            <w:vAlign w:val="center"/>
          </w:tcPr>
          <w:p w14:paraId="218DDA52">
            <w:pPr>
              <w:jc w:val="center"/>
              <w:rPr>
                <w:rFonts w:hint="eastAsia" w:ascii="Times New Roman" w:hAnsi="Times New Roman"/>
                <w:szCs w:val="21"/>
              </w:rPr>
            </w:pPr>
            <w:r>
              <w:rPr>
                <w:rFonts w:hint="eastAsia" w:ascii="Times New Roman" w:hAnsi="Times New Roman"/>
                <w:szCs w:val="21"/>
              </w:rPr>
              <w:t>共青团江苏省委《2024年“信仰公开课”省级精品课》</w:t>
            </w:r>
          </w:p>
        </w:tc>
        <w:tc>
          <w:tcPr>
            <w:tcW w:w="709" w:type="dxa"/>
            <w:tcBorders>
              <w:top w:val="single" w:color="auto" w:sz="4" w:space="0"/>
              <w:left w:val="single" w:color="auto" w:sz="4" w:space="0"/>
              <w:bottom w:val="single" w:color="auto" w:sz="4" w:space="0"/>
              <w:right w:val="single" w:color="auto" w:sz="4" w:space="0"/>
            </w:tcBorders>
            <w:noWrap/>
            <w:vAlign w:val="center"/>
          </w:tcPr>
          <w:p w14:paraId="7F8A9BE0">
            <w:pPr>
              <w:jc w:val="center"/>
              <w:rPr>
                <w:rFonts w:hint="eastAsia" w:ascii="Times New Roman" w:hAnsi="Times New Roman"/>
                <w:szCs w:val="21"/>
              </w:rPr>
            </w:pPr>
            <w:r>
              <w:rPr>
                <w:rFonts w:hint="eastAsia" w:ascii="Times New Roman" w:hAnsi="Times New Roman"/>
                <w:szCs w:val="21"/>
              </w:rPr>
              <w:t>省级</w:t>
            </w:r>
          </w:p>
        </w:tc>
        <w:tc>
          <w:tcPr>
            <w:tcW w:w="1705" w:type="dxa"/>
            <w:tcBorders>
              <w:top w:val="single" w:color="auto" w:sz="4" w:space="0"/>
              <w:left w:val="single" w:color="auto" w:sz="4" w:space="0"/>
              <w:bottom w:val="single" w:color="auto" w:sz="4" w:space="0"/>
              <w:right w:val="single" w:color="auto" w:sz="4" w:space="0"/>
            </w:tcBorders>
            <w:noWrap/>
            <w:vAlign w:val="center"/>
          </w:tcPr>
          <w:p w14:paraId="64CDDAEF">
            <w:pPr>
              <w:jc w:val="center"/>
              <w:rPr>
                <w:rFonts w:hint="eastAsia" w:ascii="Times New Roman" w:hAnsi="Times New Roman"/>
                <w:szCs w:val="21"/>
              </w:rPr>
            </w:pPr>
            <w:r>
              <w:rPr>
                <w:rFonts w:hint="eastAsia" w:ascii="Times New Roman" w:hAnsi="Times New Roman"/>
                <w:szCs w:val="21"/>
              </w:rPr>
              <w:t>耿明</w:t>
            </w:r>
          </w:p>
        </w:tc>
      </w:tr>
      <w:tr w14:paraId="0C6D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2B207F91">
            <w:pPr>
              <w:jc w:val="center"/>
              <w:rPr>
                <w:rFonts w:hint="eastAsia" w:ascii="Times New Roman" w:hAnsi="Times New Roman"/>
                <w:szCs w:val="21"/>
              </w:rPr>
            </w:pPr>
            <w:r>
              <w:rPr>
                <w:rFonts w:hint="eastAsia" w:ascii="Times New Roman" w:hAnsi="Times New Roman"/>
                <w:szCs w:val="21"/>
              </w:rPr>
              <w:t>3</w:t>
            </w:r>
          </w:p>
        </w:tc>
        <w:tc>
          <w:tcPr>
            <w:tcW w:w="5682" w:type="dxa"/>
            <w:tcBorders>
              <w:top w:val="single" w:color="auto" w:sz="4" w:space="0"/>
              <w:left w:val="single" w:color="auto" w:sz="4" w:space="0"/>
              <w:bottom w:val="single" w:color="auto" w:sz="4" w:space="0"/>
              <w:right w:val="single" w:color="auto" w:sz="4" w:space="0"/>
            </w:tcBorders>
            <w:noWrap/>
            <w:vAlign w:val="center"/>
          </w:tcPr>
          <w:p w14:paraId="3782B4BC">
            <w:pPr>
              <w:jc w:val="center"/>
              <w:rPr>
                <w:rFonts w:hint="eastAsia" w:ascii="Times New Roman" w:hAnsi="Times New Roman"/>
                <w:szCs w:val="21"/>
              </w:rPr>
            </w:pPr>
            <w:r>
              <w:rPr>
                <w:rFonts w:hint="eastAsia" w:ascii="Times New Roman" w:hAnsi="Times New Roman"/>
                <w:szCs w:val="21"/>
              </w:rPr>
              <w:t>江苏高校易班优质公开课三等奖</w:t>
            </w:r>
          </w:p>
        </w:tc>
        <w:tc>
          <w:tcPr>
            <w:tcW w:w="709" w:type="dxa"/>
            <w:tcBorders>
              <w:top w:val="single" w:color="auto" w:sz="4" w:space="0"/>
              <w:left w:val="single" w:color="auto" w:sz="4" w:space="0"/>
              <w:bottom w:val="single" w:color="auto" w:sz="4" w:space="0"/>
              <w:right w:val="single" w:color="auto" w:sz="4" w:space="0"/>
            </w:tcBorders>
            <w:noWrap/>
            <w:vAlign w:val="center"/>
          </w:tcPr>
          <w:p w14:paraId="38DA2041">
            <w:pPr>
              <w:jc w:val="center"/>
              <w:rPr>
                <w:rFonts w:hint="eastAsia" w:ascii="Times New Roman" w:hAnsi="Times New Roman"/>
                <w:szCs w:val="21"/>
              </w:rPr>
            </w:pPr>
            <w:r>
              <w:rPr>
                <w:rFonts w:hint="eastAsia" w:ascii="Times New Roman" w:hAnsi="Times New Roman"/>
                <w:szCs w:val="21"/>
              </w:rPr>
              <w:t>省级</w:t>
            </w:r>
          </w:p>
        </w:tc>
        <w:tc>
          <w:tcPr>
            <w:tcW w:w="1705" w:type="dxa"/>
            <w:tcBorders>
              <w:top w:val="single" w:color="auto" w:sz="4" w:space="0"/>
              <w:left w:val="single" w:color="auto" w:sz="4" w:space="0"/>
              <w:bottom w:val="single" w:color="auto" w:sz="4" w:space="0"/>
              <w:right w:val="single" w:color="auto" w:sz="4" w:space="0"/>
            </w:tcBorders>
            <w:noWrap/>
            <w:vAlign w:val="center"/>
          </w:tcPr>
          <w:p w14:paraId="74F1E04A">
            <w:pPr>
              <w:jc w:val="center"/>
              <w:rPr>
                <w:rFonts w:hint="eastAsia" w:ascii="Times New Roman" w:hAnsi="Times New Roman"/>
                <w:szCs w:val="21"/>
              </w:rPr>
            </w:pPr>
            <w:r>
              <w:rPr>
                <w:rFonts w:hint="eastAsia" w:ascii="Times New Roman" w:hAnsi="Times New Roman"/>
                <w:szCs w:val="21"/>
              </w:rPr>
              <w:t>汪滢滢</w:t>
            </w:r>
          </w:p>
        </w:tc>
      </w:tr>
      <w:tr w14:paraId="03400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37454989">
            <w:pPr>
              <w:jc w:val="center"/>
              <w:rPr>
                <w:rFonts w:hint="eastAsia" w:ascii="Times New Roman" w:hAnsi="Times New Roman"/>
                <w:szCs w:val="21"/>
              </w:rPr>
            </w:pPr>
            <w:r>
              <w:rPr>
                <w:rFonts w:hint="eastAsia" w:ascii="Times New Roman" w:hAnsi="Times New Roman"/>
                <w:szCs w:val="21"/>
              </w:rPr>
              <w:t>4</w:t>
            </w:r>
          </w:p>
        </w:tc>
        <w:tc>
          <w:tcPr>
            <w:tcW w:w="5682" w:type="dxa"/>
            <w:tcBorders>
              <w:top w:val="single" w:color="auto" w:sz="4" w:space="0"/>
              <w:left w:val="single" w:color="auto" w:sz="4" w:space="0"/>
              <w:bottom w:val="single" w:color="auto" w:sz="4" w:space="0"/>
              <w:right w:val="single" w:color="auto" w:sz="4" w:space="0"/>
            </w:tcBorders>
            <w:noWrap/>
            <w:vAlign w:val="center"/>
          </w:tcPr>
          <w:p w14:paraId="0B0D993E">
            <w:pPr>
              <w:jc w:val="center"/>
              <w:rPr>
                <w:rFonts w:hint="eastAsia" w:ascii="Times New Roman" w:hAnsi="Times New Roman"/>
                <w:szCs w:val="21"/>
              </w:rPr>
            </w:pPr>
            <w:r>
              <w:rPr>
                <w:rFonts w:hint="eastAsia" w:ascii="Times New Roman" w:hAnsi="Times New Roman"/>
                <w:szCs w:val="21"/>
              </w:rPr>
              <w:t>苏北地区高校心理健康教育教学竞赛一等奖</w:t>
            </w:r>
          </w:p>
        </w:tc>
        <w:tc>
          <w:tcPr>
            <w:tcW w:w="709" w:type="dxa"/>
            <w:tcBorders>
              <w:top w:val="single" w:color="auto" w:sz="4" w:space="0"/>
              <w:left w:val="single" w:color="auto" w:sz="4" w:space="0"/>
              <w:bottom w:val="single" w:color="auto" w:sz="4" w:space="0"/>
              <w:right w:val="single" w:color="auto" w:sz="4" w:space="0"/>
            </w:tcBorders>
            <w:noWrap/>
            <w:vAlign w:val="center"/>
          </w:tcPr>
          <w:p w14:paraId="40BB5832">
            <w:pPr>
              <w:jc w:val="center"/>
              <w:rPr>
                <w:rFonts w:hint="eastAsia" w:ascii="Times New Roman" w:hAnsi="Times New Roman"/>
                <w:szCs w:val="21"/>
              </w:rPr>
            </w:pPr>
            <w:r>
              <w:rPr>
                <w:rFonts w:hint="eastAsia" w:ascii="Times New Roman" w:hAnsi="Times New Roman"/>
                <w:szCs w:val="21"/>
              </w:rPr>
              <w:t>省级</w:t>
            </w:r>
          </w:p>
        </w:tc>
        <w:tc>
          <w:tcPr>
            <w:tcW w:w="1705" w:type="dxa"/>
            <w:tcBorders>
              <w:top w:val="single" w:color="auto" w:sz="4" w:space="0"/>
              <w:left w:val="single" w:color="auto" w:sz="4" w:space="0"/>
              <w:bottom w:val="single" w:color="auto" w:sz="4" w:space="0"/>
              <w:right w:val="single" w:color="auto" w:sz="4" w:space="0"/>
            </w:tcBorders>
            <w:noWrap/>
            <w:vAlign w:val="center"/>
          </w:tcPr>
          <w:p w14:paraId="74CA926E">
            <w:pPr>
              <w:jc w:val="center"/>
              <w:rPr>
                <w:rFonts w:hint="eastAsia" w:ascii="Times New Roman" w:hAnsi="Times New Roman"/>
                <w:szCs w:val="21"/>
              </w:rPr>
            </w:pPr>
            <w:r>
              <w:rPr>
                <w:rFonts w:hint="eastAsia" w:ascii="Times New Roman" w:hAnsi="Times New Roman"/>
                <w:szCs w:val="21"/>
              </w:rPr>
              <w:t>孙晓慧</w:t>
            </w:r>
          </w:p>
        </w:tc>
      </w:tr>
      <w:tr w14:paraId="0E75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10" w:type="dxa"/>
            <w:tcBorders>
              <w:top w:val="single" w:color="auto" w:sz="4" w:space="0"/>
              <w:left w:val="single" w:color="auto" w:sz="4" w:space="0"/>
              <w:bottom w:val="single" w:color="auto" w:sz="4" w:space="0"/>
              <w:right w:val="single" w:color="auto" w:sz="4" w:space="0"/>
            </w:tcBorders>
            <w:noWrap/>
            <w:vAlign w:val="center"/>
          </w:tcPr>
          <w:p w14:paraId="62AB3535">
            <w:pPr>
              <w:jc w:val="center"/>
              <w:rPr>
                <w:rFonts w:hint="eastAsia" w:ascii="Times New Roman" w:hAnsi="Times New Roman"/>
                <w:szCs w:val="21"/>
              </w:rPr>
            </w:pPr>
            <w:r>
              <w:rPr>
                <w:rFonts w:hint="eastAsia" w:ascii="Times New Roman" w:hAnsi="Times New Roman"/>
                <w:szCs w:val="21"/>
              </w:rPr>
              <w:t>5</w:t>
            </w:r>
          </w:p>
        </w:tc>
        <w:tc>
          <w:tcPr>
            <w:tcW w:w="5682" w:type="dxa"/>
            <w:tcBorders>
              <w:top w:val="single" w:color="auto" w:sz="4" w:space="0"/>
              <w:left w:val="single" w:color="auto" w:sz="4" w:space="0"/>
              <w:bottom w:val="single" w:color="auto" w:sz="4" w:space="0"/>
              <w:right w:val="single" w:color="auto" w:sz="4" w:space="0"/>
            </w:tcBorders>
            <w:noWrap/>
            <w:vAlign w:val="center"/>
          </w:tcPr>
          <w:p w14:paraId="417BAB68">
            <w:pPr>
              <w:jc w:val="center"/>
              <w:rPr>
                <w:rFonts w:hint="eastAsia" w:ascii="Times New Roman" w:hAnsi="Times New Roman"/>
                <w:szCs w:val="21"/>
              </w:rPr>
            </w:pPr>
            <w:r>
              <w:rPr>
                <w:rFonts w:hint="eastAsia" w:ascii="Times New Roman" w:hAnsi="Times New Roman"/>
                <w:szCs w:val="21"/>
              </w:rPr>
              <w:t>盐城师范学院微课教学比赛三等奖</w:t>
            </w:r>
          </w:p>
        </w:tc>
        <w:tc>
          <w:tcPr>
            <w:tcW w:w="709" w:type="dxa"/>
            <w:tcBorders>
              <w:top w:val="single" w:color="auto" w:sz="4" w:space="0"/>
              <w:left w:val="single" w:color="auto" w:sz="4" w:space="0"/>
              <w:bottom w:val="single" w:color="auto" w:sz="4" w:space="0"/>
              <w:right w:val="single" w:color="auto" w:sz="4" w:space="0"/>
            </w:tcBorders>
            <w:noWrap/>
            <w:vAlign w:val="center"/>
          </w:tcPr>
          <w:p w14:paraId="00F09DC1">
            <w:pPr>
              <w:jc w:val="center"/>
              <w:rPr>
                <w:rFonts w:hint="eastAsia" w:ascii="Times New Roman" w:hAnsi="Times New Roman"/>
                <w:szCs w:val="21"/>
              </w:rPr>
            </w:pPr>
            <w:r>
              <w:rPr>
                <w:rFonts w:hint="eastAsia" w:ascii="Times New Roman" w:hAnsi="Times New Roman"/>
                <w:szCs w:val="21"/>
              </w:rPr>
              <w:t>校级</w:t>
            </w:r>
          </w:p>
        </w:tc>
        <w:tc>
          <w:tcPr>
            <w:tcW w:w="1705" w:type="dxa"/>
            <w:tcBorders>
              <w:top w:val="single" w:color="auto" w:sz="4" w:space="0"/>
              <w:left w:val="single" w:color="auto" w:sz="4" w:space="0"/>
              <w:bottom w:val="single" w:color="auto" w:sz="4" w:space="0"/>
              <w:right w:val="single" w:color="auto" w:sz="4" w:space="0"/>
            </w:tcBorders>
            <w:noWrap/>
            <w:vAlign w:val="center"/>
          </w:tcPr>
          <w:p w14:paraId="37CE1371">
            <w:pPr>
              <w:jc w:val="center"/>
              <w:rPr>
                <w:rFonts w:hint="eastAsia" w:ascii="Times New Roman" w:hAnsi="Times New Roman"/>
                <w:szCs w:val="21"/>
              </w:rPr>
            </w:pPr>
            <w:r>
              <w:rPr>
                <w:rFonts w:hint="eastAsia" w:ascii="Times New Roman" w:hAnsi="Times New Roman"/>
                <w:szCs w:val="21"/>
              </w:rPr>
              <w:t>汪滢滢</w:t>
            </w:r>
          </w:p>
        </w:tc>
      </w:tr>
    </w:tbl>
    <w:p w14:paraId="203A0E7F">
      <w:pPr>
        <w:spacing w:line="580" w:lineRule="exact"/>
        <w:contextualSpacing/>
        <w:rPr>
          <w:rFonts w:hint="eastAsia" w:ascii="仿宋" w:hAnsi="仿宋" w:eastAsia="仿宋" w:cs="仿宋"/>
          <w:color w:val="auto"/>
          <w:sz w:val="30"/>
          <w:szCs w:val="30"/>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k4NTRiNTA2YTYwMDE1NjhiOGM2MjcxMDA5YTQwZWQifQ=="/>
  </w:docVars>
  <w:rsids>
    <w:rsidRoot w:val="00141C72"/>
    <w:rsid w:val="00121FA6"/>
    <w:rsid w:val="00141C72"/>
    <w:rsid w:val="002124FE"/>
    <w:rsid w:val="00270856"/>
    <w:rsid w:val="003B24F1"/>
    <w:rsid w:val="00413633"/>
    <w:rsid w:val="00446C2F"/>
    <w:rsid w:val="00484A49"/>
    <w:rsid w:val="00525564"/>
    <w:rsid w:val="00592FC9"/>
    <w:rsid w:val="006365D0"/>
    <w:rsid w:val="006908E0"/>
    <w:rsid w:val="006E0322"/>
    <w:rsid w:val="00751E61"/>
    <w:rsid w:val="00787441"/>
    <w:rsid w:val="007E5750"/>
    <w:rsid w:val="00811FB1"/>
    <w:rsid w:val="00823741"/>
    <w:rsid w:val="009807BF"/>
    <w:rsid w:val="00A62D5A"/>
    <w:rsid w:val="00A672DF"/>
    <w:rsid w:val="00B42786"/>
    <w:rsid w:val="00BC4E42"/>
    <w:rsid w:val="00C97BB9"/>
    <w:rsid w:val="00CF4752"/>
    <w:rsid w:val="00D410C0"/>
    <w:rsid w:val="00D81D97"/>
    <w:rsid w:val="00EE5190"/>
    <w:rsid w:val="02AC72C2"/>
    <w:rsid w:val="038A3F28"/>
    <w:rsid w:val="05A414E1"/>
    <w:rsid w:val="0C936BE0"/>
    <w:rsid w:val="0E372937"/>
    <w:rsid w:val="0EF5570E"/>
    <w:rsid w:val="0F170EF7"/>
    <w:rsid w:val="1459536D"/>
    <w:rsid w:val="149D6ACA"/>
    <w:rsid w:val="1905329F"/>
    <w:rsid w:val="19DA356A"/>
    <w:rsid w:val="1BC21CDC"/>
    <w:rsid w:val="1C636360"/>
    <w:rsid w:val="1DFE3E48"/>
    <w:rsid w:val="1F0857FB"/>
    <w:rsid w:val="2055491A"/>
    <w:rsid w:val="24243616"/>
    <w:rsid w:val="252042A0"/>
    <w:rsid w:val="26D92130"/>
    <w:rsid w:val="27CB7F5B"/>
    <w:rsid w:val="28EF22A2"/>
    <w:rsid w:val="2A1D6A2D"/>
    <w:rsid w:val="2BE35B5A"/>
    <w:rsid w:val="2BEE3119"/>
    <w:rsid w:val="2E8334F6"/>
    <w:rsid w:val="30E20BDA"/>
    <w:rsid w:val="31057724"/>
    <w:rsid w:val="323C18A5"/>
    <w:rsid w:val="386F74C3"/>
    <w:rsid w:val="3B9A5621"/>
    <w:rsid w:val="3C487939"/>
    <w:rsid w:val="3F0833B0"/>
    <w:rsid w:val="3F6C7DE3"/>
    <w:rsid w:val="410E299D"/>
    <w:rsid w:val="41422894"/>
    <w:rsid w:val="448160DE"/>
    <w:rsid w:val="44843BF6"/>
    <w:rsid w:val="464B73FA"/>
    <w:rsid w:val="47432D44"/>
    <w:rsid w:val="48B06F92"/>
    <w:rsid w:val="4A997486"/>
    <w:rsid w:val="4F8F4180"/>
    <w:rsid w:val="527E021F"/>
    <w:rsid w:val="54535E47"/>
    <w:rsid w:val="54E52957"/>
    <w:rsid w:val="557849C5"/>
    <w:rsid w:val="576B342C"/>
    <w:rsid w:val="57F02E77"/>
    <w:rsid w:val="59BE6C04"/>
    <w:rsid w:val="5A392494"/>
    <w:rsid w:val="5D302E22"/>
    <w:rsid w:val="5F3202A9"/>
    <w:rsid w:val="603B318E"/>
    <w:rsid w:val="61632265"/>
    <w:rsid w:val="62175534"/>
    <w:rsid w:val="633E07DA"/>
    <w:rsid w:val="64EF2635"/>
    <w:rsid w:val="65CB1C57"/>
    <w:rsid w:val="65FA60E0"/>
    <w:rsid w:val="66881483"/>
    <w:rsid w:val="66E27D0A"/>
    <w:rsid w:val="6D36567A"/>
    <w:rsid w:val="6DD300F5"/>
    <w:rsid w:val="6DDB1B0C"/>
    <w:rsid w:val="6DEB69D4"/>
    <w:rsid w:val="6FC21287"/>
    <w:rsid w:val="6FC355D8"/>
    <w:rsid w:val="708C7593"/>
    <w:rsid w:val="721957EB"/>
    <w:rsid w:val="743E5F09"/>
    <w:rsid w:val="76366EC7"/>
    <w:rsid w:val="76834414"/>
    <w:rsid w:val="76EF03D6"/>
    <w:rsid w:val="775B5A6C"/>
    <w:rsid w:val="7A3C6C4A"/>
    <w:rsid w:val="7C396D71"/>
    <w:rsid w:val="7C94453F"/>
    <w:rsid w:val="7D6A36F4"/>
    <w:rsid w:val="7DE6691E"/>
    <w:rsid w:val="7DFA2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ind w:firstLine="420" w:firstLineChars="200"/>
    </w:pPr>
  </w:style>
  <w:style w:type="paragraph" w:styleId="4">
    <w:name w:val="annotation text"/>
    <w:basedOn w:val="1"/>
    <w:qFormat/>
    <w:uiPriority w:val="0"/>
    <w:pPr>
      <w:jc w:val="left"/>
    </w:pPr>
  </w:style>
  <w:style w:type="paragraph" w:styleId="5">
    <w:name w:val="Body Text"/>
    <w:basedOn w:val="1"/>
    <w:qFormat/>
    <w:uiPriority w:val="0"/>
    <w:rPr>
      <w:rFonts w:ascii="仿宋_GB2312" w:hAnsi="Times New Roman" w:eastAsia="仿宋_GB2312"/>
      <w:sz w:val="28"/>
      <w:szCs w:val="20"/>
    </w:rPr>
  </w:style>
  <w:style w:type="paragraph" w:styleId="6">
    <w:name w:val="Body Text Indent"/>
    <w:basedOn w:val="1"/>
    <w:qFormat/>
    <w:uiPriority w:val="0"/>
    <w:pPr>
      <w:spacing w:line="360" w:lineRule="auto"/>
      <w:ind w:firstLine="560" w:firstLineChars="200"/>
    </w:pPr>
    <w:rPr>
      <w:rFonts w:ascii="仿宋_GB2312" w:hAnsi="宋体" w:eastAsia="仿宋_GB2312"/>
      <w:sz w:val="28"/>
      <w:szCs w:val="30"/>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560" w:firstLineChars="200"/>
      <w:jc w:val="left"/>
    </w:pPr>
    <w:rPr>
      <w:rFonts w:ascii="宋体" w:hAnsi="宋体" w:cs="宋体"/>
      <w:sz w:val="28"/>
      <w:szCs w:val="28"/>
    </w:rPr>
  </w:style>
  <w:style w:type="paragraph" w:styleId="10">
    <w:name w:val="Body Text 2"/>
    <w:basedOn w:val="1"/>
    <w:qFormat/>
    <w:uiPriority w:val="99"/>
    <w:pPr>
      <w:autoSpaceDE w:val="0"/>
      <w:autoSpaceDN w:val="0"/>
      <w:adjustRightInd w:val="0"/>
      <w:spacing w:line="380" w:lineRule="exact"/>
      <w:ind w:firstLine="480"/>
    </w:pPr>
    <w:rPr>
      <w:rFonts w:ascii="宋体" w:cs="宋体"/>
      <w:sz w:val="24"/>
      <w:szCs w:val="24"/>
      <w:lang w:val="zh-CN"/>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Title"/>
    <w:basedOn w:val="1"/>
    <w:next w:val="1"/>
    <w:qFormat/>
    <w:uiPriority w:val="0"/>
    <w:pPr>
      <w:ind w:left="640" w:leftChars="200"/>
      <w:outlineLvl w:val="0"/>
    </w:pPr>
    <w:rPr>
      <w:rFonts w:ascii="Arial" w:hAnsi="Arial" w:eastAsia="仿宋_GB2312"/>
      <w:b/>
      <w:sz w:val="32"/>
      <w:szCs w:val="24"/>
    </w:rPr>
  </w:style>
  <w:style w:type="paragraph" w:styleId="13">
    <w:name w:val="Body Text First Indent 2"/>
    <w:basedOn w:val="6"/>
    <w:unhideWhenUsed/>
    <w:qFormat/>
    <w:uiPriority w:val="99"/>
    <w:pPr>
      <w:ind w:firstLine="420"/>
    </w:pPr>
  </w:style>
  <w:style w:type="character" w:customStyle="1" w:styleId="16">
    <w:name w:val="页眉 字符"/>
    <w:basedOn w:val="15"/>
    <w:link w:val="8"/>
    <w:qFormat/>
    <w:uiPriority w:val="0"/>
    <w:rPr>
      <w:rFonts w:ascii="Times New Roman" w:hAnsi="Times New Roman" w:eastAsia="宋体" w:cs="Times New Roman"/>
      <w:kern w:val="2"/>
      <w:sz w:val="18"/>
      <w:szCs w:val="18"/>
    </w:rPr>
  </w:style>
  <w:style w:type="character" w:customStyle="1" w:styleId="17">
    <w:name w:val="页脚 字符"/>
    <w:basedOn w:val="15"/>
    <w:link w:val="7"/>
    <w:qFormat/>
    <w:uiPriority w:val="0"/>
    <w:rPr>
      <w:rFonts w:ascii="Times New Roman" w:hAnsi="Times New Roman" w:eastAsia="宋体" w:cs="Times New Roman"/>
      <w:kern w:val="2"/>
      <w:sz w:val="18"/>
      <w:szCs w:val="18"/>
    </w:rPr>
  </w:style>
  <w:style w:type="paragraph" w:customStyle="1" w:styleId="18">
    <w:name w:val="列表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9124</Words>
  <Characters>9477</Characters>
  <Lines>57</Lines>
  <Paragraphs>16</Paragraphs>
  <TotalTime>0</TotalTime>
  <ScaleCrop>false</ScaleCrop>
  <LinksUpToDate>false</LinksUpToDate>
  <CharactersWithSpaces>9498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2021-06-30T04:22:00Z</dcterms:created>
  <dc:creator>s</dc:creator>
  <cp:lastModifiedBy>KIMI</cp:lastModifiedBy>
  <cp:lastPrinted>2024-12-02T12:20:00Z</cp:lastPrinted>
  <dcterms:modified xsi:type="dcterms:W3CDTF">2025-12-30T02:52:46Z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2B56FDAE76B24165956B1BA7AF41EDCB_13</vt:lpwstr>
  </property>
  <property fmtid="{D5CDD505-2E9C-101B-9397-08002B2CF9AE}" pid="4" name="KSOTemplateDocerSaveRecord">
    <vt:lpwstr>eyJoZGlkIjoiMjhkMzBkMTA3MjU0YjdkMjkwNGU3MzI1MWE3ODYzMDciLCJ1c2VySWQiOiIzMzYxOTcxODEifQ==</vt:lpwstr>
  </property>
</Properties>
</file>