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9802F">
      <w:pPr>
        <w:spacing w:before="312" w:beforeLines="100" w:after="312" w:afterLines="100" w:line="600" w:lineRule="exact"/>
        <w:jc w:val="center"/>
        <w:rPr>
          <w:rFonts w:hint="eastAsia" w:ascii="方正小标宋简体" w:hAnsi="华文中宋" w:eastAsia="方正小标宋简体" w:cs="Times New Roman"/>
          <w:color w:val="000000"/>
          <w:sz w:val="36"/>
          <w:szCs w:val="36"/>
          <w:lang w:val="en-US" w:eastAsia="zh-CN"/>
        </w:rPr>
      </w:pPr>
      <w:r>
        <w:rPr>
          <w:rFonts w:hint="eastAsia" w:ascii="方正小标宋简体" w:hAnsi="华文中宋" w:eastAsia="方正小标宋简体" w:cs="Times New Roman"/>
          <w:color w:val="000000"/>
          <w:sz w:val="36"/>
          <w:szCs w:val="36"/>
          <w:lang w:val="en-US" w:eastAsia="zh-CN"/>
        </w:rPr>
        <w:t>评估处</w:t>
      </w:r>
      <w:r>
        <w:rPr>
          <w:rFonts w:hint="default" w:ascii="Times New Roman" w:hAnsi="Times New Roman" w:eastAsia="方正小标宋简体" w:cs="Times New Roman"/>
          <w:color w:val="000000"/>
          <w:sz w:val="36"/>
          <w:szCs w:val="36"/>
          <w:lang w:val="en-US" w:eastAsia="zh-CN"/>
        </w:rPr>
        <w:t>2025</w:t>
      </w:r>
      <w:r>
        <w:rPr>
          <w:rFonts w:hint="eastAsia" w:ascii="方正小标宋简体" w:hAnsi="华文中宋" w:eastAsia="方正小标宋简体" w:cs="Times New Roman"/>
          <w:color w:val="000000"/>
          <w:sz w:val="36"/>
          <w:szCs w:val="36"/>
          <w:lang w:val="en-US" w:eastAsia="zh-CN"/>
        </w:rPr>
        <w:t>年度工作总结</w:t>
      </w:r>
    </w:p>
    <w:p w14:paraId="03308E51">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2025年，评估处在学校党政的坚强领导下，锚定“质量提升、内涵发展”核心目标，以党建为引领、以审核评估为核心、以质量保障为支撑，统筹推进学位授权、专业认证、教学督导等各项工作，在迎评攻坚、整改提质、机制创新中履职尽责，为学校本科教育教学高质量发展筑牢根基，现总结如下：</w:t>
      </w:r>
    </w:p>
    <w:p w14:paraId="37C288BF">
      <w:pPr>
        <w:adjustRightInd w:val="0"/>
        <w:spacing w:line="500" w:lineRule="exact"/>
        <w:ind w:firstLine="643" w:firstLineChars="200"/>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一、党建引领固根基，思想铸魂激动能</w:t>
      </w:r>
    </w:p>
    <w:p w14:paraId="6CB838B1">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（一）党建品牌提质效，示范引领强根基</w:t>
      </w:r>
    </w:p>
    <w:p w14:paraId="1BF586B5">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高质量完成第四批全国党建工作样板支部建设中期检查，全面梳理建设经验、查摆问题短板，通过专题讲座、集中研讨、个人自学等多元形式，深入开展中央八项规定精神学习教育。引导党员干部深刻领会精神实质，增强贯彻落实的思想自觉与行动自觉，着力营造风清气正的教育政治生态。</w:t>
      </w:r>
    </w:p>
    <w:p w14:paraId="6A4AB847">
      <w:pPr>
        <w:numPr>
          <w:ilvl w:val="0"/>
          <w:numId w:val="1"/>
        </w:num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巡视整改抓落实，靶向施策提质效</w:t>
      </w:r>
    </w:p>
    <w:p w14:paraId="7B36C2E3">
      <w:pPr>
        <w:numPr>
          <w:ilvl w:val="0"/>
          <w:numId w:val="0"/>
        </w:num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针对省委巡视反馈问题，制定精细化整改方案，明确任务清单、整改措施与时间节点，压实主体责任，以“钉钉子”精神推进整改落实</w:t>
      </w:r>
      <w:r>
        <w:rPr>
          <w:rFonts w:hint="default" w:ascii="Times New Roman" w:hAnsi="Times New Roman" w:eastAsia="仿宋_GB2312" w:cs="Times New Roman"/>
          <w:color w:val="000000"/>
          <w:sz w:val="32"/>
          <w:szCs w:val="32"/>
          <w:highlight w:val="none"/>
          <w:lang w:val="en-US" w:eastAsia="zh-CN"/>
        </w:rPr>
        <w:t>，全年提交总结整改情况</w:t>
      </w:r>
      <w:r>
        <w:rPr>
          <w:rFonts w:hint="eastAsia" w:ascii="Times New Roman" w:hAnsi="Times New Roman" w:eastAsia="仿宋_GB2312" w:cs="Times New Roman"/>
          <w:color w:val="000000"/>
          <w:sz w:val="32"/>
          <w:szCs w:val="32"/>
          <w:highlight w:val="none"/>
          <w:lang w:val="en-US" w:eastAsia="zh-CN"/>
        </w:rPr>
        <w:t>8</w:t>
      </w:r>
      <w:r>
        <w:rPr>
          <w:rFonts w:hint="default" w:ascii="Times New Roman" w:hAnsi="Times New Roman" w:eastAsia="仿宋_GB2312" w:cs="Times New Roman"/>
          <w:color w:val="000000"/>
          <w:sz w:val="32"/>
          <w:szCs w:val="32"/>
          <w:highlight w:val="none"/>
          <w:lang w:val="en-US" w:eastAsia="zh-CN"/>
        </w:rPr>
        <w:t>次，</w:t>
      </w:r>
      <w:r>
        <w:rPr>
          <w:rFonts w:hint="default" w:ascii="Times New Roman" w:hAnsi="Times New Roman" w:eastAsia="仿宋_GB2312" w:cs="Times New Roman"/>
          <w:color w:val="000000"/>
          <w:sz w:val="32"/>
          <w:szCs w:val="32"/>
          <w:lang w:val="en-US" w:eastAsia="zh-CN"/>
        </w:rPr>
        <w:t>确保问题整改见底见效。严格落实党风廉政建设责任制，常态化开展廉洁教育，完善内控机制，营造风清气正的工作氛围。强化服务意识与大局意识，通过优化服务流程、开展服务能力培训等方式，提升服务师生质效，树立部门良好形象。</w:t>
      </w:r>
    </w:p>
    <w:p w14:paraId="7BA20062">
      <w:pPr>
        <w:adjustRightInd w:val="0"/>
        <w:spacing w:line="500" w:lineRule="exact"/>
        <w:ind w:firstLine="643" w:firstLineChars="200"/>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二、迎评攻坚勇担当，审核评估谱新篇</w:t>
      </w:r>
    </w:p>
    <w:p w14:paraId="3B441C6F">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将本科教育教学审核评估作为年度核心任务，以“精益求精、万无一失”的标准，统筹推进预评估、正式评估及整改筹备等工作，确保评估工作平稳有序、成效显著。</w:t>
      </w:r>
    </w:p>
    <w:p w14:paraId="33AC0137">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（一）精筹备强演练，预评估筑牢基础</w:t>
      </w:r>
    </w:p>
    <w:p w14:paraId="4830EA59">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2025年3月</w:t>
      </w:r>
      <w:r>
        <w:rPr>
          <w:rFonts w:hint="default" w:ascii="Times New Roman" w:hAnsi="Times New Roman" w:eastAsia="仿宋_GB2312" w:cs="Times New Roman"/>
          <w:color w:val="000000"/>
          <w:sz w:val="32"/>
          <w:szCs w:val="32"/>
          <w:lang w:val="en-US" w:eastAsia="zh-CN"/>
        </w:rPr>
        <w:t>启动第二轮线上预评估工作，印发《盐城师范学院本科教育教学审核评估第二轮预评估（线上）工作方案》，成立综合组、听课组、材料组等6个工作组，明确分工、协同发力。精心编印预评估专家工作手册，制作评估检查用表，完成听课系统测试、专家联络员培养等准备工作，全面整理专家案头材料100余份。预评估期间，严格模拟正式评估流程，组织专家组开展材料研读、线上听课看课、访谈座谈等工作，累计处理听看课指令23条、访座谈指令48条</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调阅材料150余份。评估结束后，第一时间梳理专家反馈意见，形成问题清单并反馈至相关部门和学院，为后续整改优化提供精准指引。</w:t>
      </w:r>
    </w:p>
    <w:p w14:paraId="7E45B85D">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（二）严把关细打磨，材料质量达标准</w:t>
      </w:r>
    </w:p>
    <w:p w14:paraId="7F522576">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牵头完成自评报告附件材料整理工作和质量保障部分撰写工作，系统梳理学校教学规章制度，规范化整理支撑材料，确保材料与自评报告逻辑严密、相互印证。组织专人对各部门、各学院提交的材料进行逐一审核，累计审核修改材料1789份，对存在问题的材料及时反馈并督促整改，确保材料全面、客观呈现学校办学优势。编印评估材料纸质版，分发给核心部门领导干部学习，并及时邮寄给专家，为评估工作提供坚实材料支撑。</w:t>
      </w:r>
    </w:p>
    <w:p w14:paraId="04CE8F9D">
      <w:pPr>
        <w:keepNext w:val="0"/>
        <w:keepLines w:val="0"/>
        <w:widowControl/>
        <w:suppressLineNumbers w:val="0"/>
        <w:ind w:firstLine="620" w:firstLineChars="200"/>
        <w:jc w:val="left"/>
        <w:rPr>
          <w:rFonts w:hint="default" w:ascii="Times New Roman" w:hAnsi="Times New Roman" w:eastAsia="仿宋_GB2312" w:cs="Times New Roman"/>
          <w:color w:val="000000"/>
          <w:sz w:val="32"/>
          <w:szCs w:val="32"/>
          <w:lang w:val="en-US" w:eastAsia="zh-CN"/>
        </w:rPr>
      </w:pPr>
      <w:r>
        <w:rPr>
          <w:rFonts w:ascii="Segoe UI Symbol" w:hAnsi="Segoe UI Symbol" w:eastAsia="Segoe UI Symbol" w:cs="Segoe UI Symbol"/>
          <w:color w:val="000000"/>
          <w:kern w:val="0"/>
          <w:sz w:val="31"/>
          <w:szCs w:val="31"/>
          <w:lang w:val="en-US" w:eastAsia="zh-CN" w:bidi="ar"/>
        </w:rPr>
        <w:t>★</w:t>
      </w:r>
      <w:r>
        <w:rPr>
          <w:rFonts w:hint="default" w:ascii="Times New Roman" w:hAnsi="Times New Roman" w:eastAsia="仿宋_GB2312" w:cs="Times New Roman"/>
          <w:color w:val="000000"/>
          <w:sz w:val="32"/>
          <w:szCs w:val="32"/>
          <w:lang w:val="en-US" w:eastAsia="zh-CN"/>
        </w:rPr>
        <w:t>（三）全流程巧部署，正式评估稳推进</w:t>
      </w:r>
    </w:p>
    <w:p w14:paraId="1635FB45">
      <w:pPr>
        <w:adjustRightInd w:val="0"/>
        <w:spacing w:line="500" w:lineRule="exact"/>
        <w:ind w:firstLine="640" w:firstLineChars="200"/>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color w:val="000000"/>
          <w:sz w:val="32"/>
          <w:szCs w:val="32"/>
          <w:lang w:val="en-US" w:eastAsia="zh-CN"/>
        </w:rPr>
        <w:t>印发《盐城师范学院迎接本科教育教学审核评估专家组评审工作方案》，启动线上审核评估工作。严格按照评估系统要求，分批次上传正式评估材料，审定10个项目组工作方案与流程，选定并培训专家联络员15名，保障与专家高效沟通。</w:t>
      </w:r>
      <w:r>
        <w:rPr>
          <w:rFonts w:hint="default" w:ascii="Times New Roman" w:hAnsi="Times New Roman" w:eastAsia="仿宋_GB2312" w:cs="Times New Roman"/>
          <w:b/>
          <w:bCs/>
          <w:color w:val="000000"/>
          <w:sz w:val="32"/>
          <w:szCs w:val="32"/>
          <w:lang w:val="en-US" w:eastAsia="zh-CN"/>
        </w:rPr>
        <w:t>线上评估期间实行24小时值班制，及时响应专家需求，累计处理听看课指令95节次</w:t>
      </w:r>
      <w:r>
        <w:rPr>
          <w:rFonts w:hint="eastAsia" w:ascii="Times New Roman" w:hAnsi="Times New Roman" w:eastAsia="仿宋_GB2312" w:cs="Times New Roman"/>
          <w:b/>
          <w:bCs/>
          <w:color w:val="000000"/>
          <w:sz w:val="32"/>
          <w:szCs w:val="32"/>
          <w:lang w:val="en-US" w:eastAsia="zh-CN"/>
        </w:rPr>
        <w:t>、</w:t>
      </w:r>
      <w:r>
        <w:rPr>
          <w:rFonts w:hint="default" w:ascii="Times New Roman" w:hAnsi="Times New Roman" w:eastAsia="仿宋_GB2312" w:cs="Times New Roman"/>
          <w:b/>
          <w:bCs/>
          <w:color w:val="000000"/>
          <w:sz w:val="32"/>
          <w:szCs w:val="32"/>
          <w:lang w:val="en-US" w:eastAsia="zh-CN"/>
        </w:rPr>
        <w:t>提交调阅试卷626份、培养方案45份、毕业论文（设计）219份</w:t>
      </w:r>
      <w:r>
        <w:rPr>
          <w:rFonts w:hint="eastAsia" w:ascii="Times New Roman" w:hAnsi="Times New Roman" w:eastAsia="仿宋_GB2312" w:cs="Times New Roman"/>
          <w:b/>
          <w:bCs/>
          <w:color w:val="000000"/>
          <w:sz w:val="32"/>
          <w:szCs w:val="32"/>
          <w:lang w:val="en-US" w:eastAsia="zh-CN"/>
        </w:rPr>
        <w:t>、</w:t>
      </w:r>
      <w:r>
        <w:rPr>
          <w:rFonts w:hint="default" w:ascii="Times New Roman" w:hAnsi="Times New Roman" w:eastAsia="仿宋_GB2312" w:cs="Times New Roman"/>
          <w:b/>
          <w:bCs/>
          <w:color w:val="000000"/>
          <w:sz w:val="32"/>
          <w:szCs w:val="32"/>
          <w:lang w:val="en-US" w:eastAsia="zh-CN"/>
        </w:rPr>
        <w:t>安排访谈305人次</w:t>
      </w:r>
      <w:r>
        <w:rPr>
          <w:rFonts w:hint="eastAsia" w:ascii="Times New Roman" w:hAnsi="Times New Roman" w:eastAsia="仿宋_GB2312" w:cs="Times New Roman"/>
          <w:b/>
          <w:bCs/>
          <w:color w:val="000000"/>
          <w:sz w:val="32"/>
          <w:szCs w:val="32"/>
          <w:lang w:val="en-US" w:eastAsia="zh-CN"/>
        </w:rPr>
        <w:t>、</w:t>
      </w:r>
      <w:r>
        <w:rPr>
          <w:rFonts w:hint="default" w:ascii="Times New Roman" w:hAnsi="Times New Roman" w:eastAsia="仿宋_GB2312" w:cs="Times New Roman"/>
          <w:b/>
          <w:bCs/>
          <w:color w:val="000000"/>
          <w:sz w:val="32"/>
          <w:szCs w:val="32"/>
          <w:lang w:val="en-US" w:eastAsia="zh-CN"/>
        </w:rPr>
        <w:t>组织各类座谈会29场，确保3周线上评估工作顺畅有序。</w:t>
      </w:r>
    </w:p>
    <w:p w14:paraId="7EAF3839">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（四）优服务保畅通，入校考察获认可</w:t>
      </w:r>
    </w:p>
    <w:p w14:paraId="398F323E">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精心筹备为期3天的专家入校考察工作，结合学校特色优势，确定代表性教学场所、实践基地等考察点，优化考察路线设计。妥善安排专家交通、住宿、餐饮及办公设备安装等事宜，为专家提供舒适便捷的工作生活环境。</w:t>
      </w:r>
      <w:r>
        <w:rPr>
          <w:rFonts w:hint="default" w:ascii="Times New Roman" w:hAnsi="Times New Roman" w:eastAsia="仿宋_GB2312" w:cs="Times New Roman"/>
          <w:b/>
          <w:bCs/>
          <w:color w:val="000000"/>
          <w:sz w:val="32"/>
          <w:szCs w:val="32"/>
          <w:lang w:val="en-US" w:eastAsia="zh-CN"/>
        </w:rPr>
        <w:t>组织召开专家入校见面会、意见交流会等，搭建高效沟通平台，累计完成专家考察需求、材料调阅</w:t>
      </w:r>
      <w:r>
        <w:rPr>
          <w:rFonts w:hint="eastAsia" w:ascii="Times New Roman" w:hAnsi="Times New Roman" w:eastAsia="仿宋_GB2312" w:cs="Times New Roman"/>
          <w:b/>
          <w:bCs/>
          <w:color w:val="000000"/>
          <w:sz w:val="32"/>
          <w:szCs w:val="32"/>
          <w:lang w:val="en-US" w:eastAsia="zh-CN"/>
        </w:rPr>
        <w:t>、走</w:t>
      </w:r>
      <w:r>
        <w:rPr>
          <w:rFonts w:hint="default" w:ascii="Times New Roman" w:hAnsi="Times New Roman" w:eastAsia="仿宋_GB2312" w:cs="Times New Roman"/>
          <w:b/>
          <w:bCs/>
          <w:color w:val="000000"/>
          <w:sz w:val="32"/>
          <w:szCs w:val="32"/>
          <w:lang w:val="en-US" w:eastAsia="zh-CN"/>
        </w:rPr>
        <w:t>访座谈等指令36条。</w:t>
      </w:r>
      <w:r>
        <w:rPr>
          <w:rFonts w:hint="default" w:ascii="Times New Roman" w:hAnsi="Times New Roman" w:eastAsia="仿宋_GB2312" w:cs="Times New Roman"/>
          <w:color w:val="000000"/>
          <w:sz w:val="32"/>
          <w:szCs w:val="32"/>
          <w:lang w:val="en-US" w:eastAsia="zh-CN"/>
        </w:rPr>
        <w:t>考察结束后，及时整理汇总专家意见交流会发言、工作报告及问题清单，为后续整改工作奠定基础。</w:t>
      </w:r>
    </w:p>
    <w:p w14:paraId="702F2C23">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（五）抓整改谋长远，后半篇文章起好步</w:t>
      </w:r>
    </w:p>
    <w:p w14:paraId="0549F90A">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全面梳理审核评估专家反馈意见与自评自建问题，形成详细问题清单，启动整改材料撰写准备工作。制定《审核评估整改方案》，明确整改问题台账、任务分解、整改措施、时间表及预期目标，建立“问题—整改—提升”的闭环机制，压实整改责任，确保整改工作落地见效，切实做好审核评估“后半篇”文章。</w:t>
      </w:r>
    </w:p>
    <w:p w14:paraId="5D4A85CB">
      <w:pPr>
        <w:adjustRightInd w:val="0"/>
        <w:spacing w:line="500" w:lineRule="exact"/>
        <w:ind w:firstLine="643"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三、督导护航提质量，规范管理促提升</w:t>
      </w:r>
    </w:p>
    <w:p w14:paraId="3CF5B85B">
      <w:pPr>
        <w:adjustRightInd w:val="0"/>
        <w:spacing w:line="5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健全校院两级教学督导与质量监控体系，以常态化督导、专项检查为抓手，推动教学过程规范化、教学质量持续提升。</w:t>
      </w:r>
    </w:p>
    <w:p w14:paraId="7C1E50F1">
      <w:pPr>
        <w:adjustRightInd w:val="0"/>
        <w:spacing w:line="500" w:lineRule="exact"/>
        <w:ind w:firstLine="620" w:firstLineChars="200"/>
        <w:rPr>
          <w:rFonts w:hint="default" w:ascii="Times New Roman" w:hAnsi="Times New Roman" w:eastAsia="仿宋_GB2312" w:cs="Times New Roman"/>
          <w:color w:val="000000"/>
          <w:sz w:val="32"/>
          <w:szCs w:val="32"/>
          <w:lang w:val="en-US" w:eastAsia="zh-CN"/>
        </w:rPr>
      </w:pPr>
      <w:r>
        <w:rPr>
          <w:rFonts w:ascii="Segoe UI Symbol" w:hAnsi="Segoe UI Symbol" w:eastAsia="Segoe UI Symbol" w:cs="Segoe UI Symbol"/>
          <w:color w:val="000000"/>
          <w:kern w:val="0"/>
          <w:sz w:val="31"/>
          <w:szCs w:val="31"/>
          <w:lang w:val="en-US" w:eastAsia="zh-CN" w:bidi="ar"/>
        </w:rPr>
        <w:t>★</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一</w:t>
      </w:r>
      <w:r>
        <w:rPr>
          <w:rFonts w:hint="default" w:ascii="Times New Roman" w:hAnsi="Times New Roman" w:eastAsia="仿宋_GB2312" w:cs="Times New Roman"/>
          <w:color w:val="000000"/>
          <w:sz w:val="32"/>
          <w:szCs w:val="32"/>
          <w:lang w:val="en-US" w:eastAsia="zh-CN"/>
        </w:rPr>
        <w:t>）推进质量文化，厚植育人好生态</w:t>
      </w:r>
    </w:p>
    <w:p w14:paraId="79AE3359">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聚焦“追求卓越</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争创一流”的质量文化建设目标，</w:t>
      </w:r>
      <w:r>
        <w:rPr>
          <w:rFonts w:hint="default" w:ascii="Times New Roman" w:hAnsi="Times New Roman" w:eastAsia="仿宋_GB2312" w:cs="Times New Roman"/>
          <w:b/>
          <w:bCs/>
          <w:color w:val="000000"/>
          <w:sz w:val="32"/>
          <w:szCs w:val="32"/>
          <w:lang w:val="en-US" w:eastAsia="zh-CN"/>
        </w:rPr>
        <w:t>出台《关于加强本科教育教学质量文化建设的指导意见》《盐城师范学院关于进一步加强本科教育教学质量保障体系建设的意见》，将质量文化融入教育教学实践与人才培养各环节。</w:t>
      </w:r>
      <w:r>
        <w:rPr>
          <w:rFonts w:hint="default" w:ascii="Times New Roman" w:hAnsi="Times New Roman" w:eastAsia="仿宋_GB2312" w:cs="Times New Roman"/>
          <w:color w:val="000000"/>
          <w:sz w:val="32"/>
          <w:szCs w:val="32"/>
          <w:lang w:val="en-US" w:eastAsia="zh-CN"/>
        </w:rPr>
        <w:t>以审核评估整改为契机，推进自觉、自省、自律、自查、自纠的质量文化建设，激励全体师生践行质量理念，营造“人人重视质量、人人追求卓越”的浓厚氛围，将质量文化内化为师生共同价值追求与行为准则。</w:t>
      </w:r>
    </w:p>
    <w:p w14:paraId="1B365390">
      <w:pPr>
        <w:adjustRightInd w:val="0"/>
        <w:spacing w:line="5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US" w:eastAsia="zh-CN"/>
        </w:rPr>
        <w:t>二</w:t>
      </w:r>
      <w:r>
        <w:rPr>
          <w:rFonts w:hint="default" w:ascii="Times New Roman" w:hAnsi="Times New Roman" w:eastAsia="仿宋_GB2312" w:cs="Times New Roman"/>
          <w:color w:val="000000"/>
          <w:sz w:val="32"/>
          <w:szCs w:val="32"/>
          <w:highlight w:val="none"/>
          <w:lang w:val="en-US" w:eastAsia="zh-CN"/>
        </w:rPr>
        <w:t>）完善督导体系，履职尽责显成效</w:t>
      </w:r>
    </w:p>
    <w:p w14:paraId="7EB0EF5C">
      <w:pPr>
        <w:adjustRightInd w:val="0"/>
        <w:spacing w:line="500" w:lineRule="exact"/>
        <w:ind w:firstLine="640" w:firstLineChars="200"/>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建立常态化教学巡查制度，并明确“五个一”“三个一”工作要求，为督导工作提供规范依据。</w:t>
      </w:r>
      <w:r>
        <w:rPr>
          <w:rFonts w:hint="eastAsia" w:ascii="Times New Roman" w:hAnsi="Times New Roman" w:eastAsia="仿宋_GB2312" w:cs="Times New Roman"/>
          <w:b/>
          <w:bCs/>
          <w:color w:val="000000"/>
          <w:sz w:val="32"/>
          <w:szCs w:val="32"/>
          <w:highlight w:val="none"/>
          <w:lang w:val="en-US" w:eastAsia="zh-CN"/>
        </w:rPr>
        <w:t>春学期，学校督导累计听课492节、二级学院督导听课2172节。</w:t>
      </w:r>
      <w:r>
        <w:rPr>
          <w:rFonts w:hint="eastAsia" w:ascii="Times New Roman" w:hAnsi="Times New Roman" w:eastAsia="仿宋_GB2312" w:cs="Times New Roman"/>
          <w:color w:val="000000"/>
          <w:sz w:val="32"/>
          <w:szCs w:val="32"/>
          <w:highlight w:val="none"/>
          <w:lang w:val="en-US" w:eastAsia="zh-CN"/>
        </w:rPr>
        <w:t>但受限于原“一个学期一反馈”的机制，督导意见传递存在滞后性，难以支撑教师及时优化教学环节。针对这一痛点，今年9月起我校对督导反馈机制实施关键改革：将原学期末集中反馈调整为一周一统计，开展开学第一周专项听课，并通过不定期不定时巡查，实现教学督导全覆盖，并将督导的听课问题迅速反馈至教学管理部门，改正“听课信息积压、改进建议延迟”的弊端。（秋学期听课数据待学期结束统计）</w:t>
      </w:r>
    </w:p>
    <w:p w14:paraId="10B6F799">
      <w:pPr>
        <w:adjustRightInd w:val="0"/>
        <w:spacing w:line="500" w:lineRule="exact"/>
        <w:ind w:firstLine="640" w:firstLineChars="200"/>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此外，定期召开督导工作会和督导反馈会，全年编印《教学督导简报》3期，结合周统计的实时数据与针对性意见，切实提升教学质量监控的时效性与精准度。</w:t>
      </w:r>
    </w:p>
    <w:p w14:paraId="1AFCBB68">
      <w:pPr>
        <w:adjustRightInd w:val="0"/>
        <w:spacing w:line="5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US" w:eastAsia="zh-CN"/>
        </w:rPr>
        <w:t>三</w:t>
      </w:r>
      <w:r>
        <w:rPr>
          <w:rFonts w:hint="default" w:ascii="Times New Roman" w:hAnsi="Times New Roman" w:eastAsia="仿宋_GB2312" w:cs="Times New Roman"/>
          <w:color w:val="000000"/>
          <w:sz w:val="32"/>
          <w:szCs w:val="32"/>
          <w:highlight w:val="none"/>
          <w:lang w:val="en-US" w:eastAsia="zh-CN"/>
        </w:rPr>
        <w:t>）强化专项检查，筑牢质量防火墙</w:t>
      </w:r>
    </w:p>
    <w:p w14:paraId="3AE94136">
      <w:pPr>
        <w:adjustRightInd w:val="0"/>
        <w:spacing w:line="500" w:lineRule="exact"/>
        <w:ind w:firstLine="640" w:firstLineChars="200"/>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color w:val="000000"/>
          <w:sz w:val="32"/>
          <w:szCs w:val="32"/>
          <w:highlight w:val="none"/>
          <w:lang w:val="en-US" w:eastAsia="zh-CN"/>
        </w:rPr>
        <w:t>开展多维度教学专项检查，保障教学各环节规范有序。组织完成2024年秋学期138门课程资料、2025年春学期127门课程资料检查工作，及时通报结果、督促整改。</w:t>
      </w:r>
      <w:r>
        <w:rPr>
          <w:rFonts w:hint="default" w:ascii="Times New Roman" w:hAnsi="Times New Roman" w:eastAsia="仿宋_GB2312" w:cs="Times New Roman"/>
          <w:color w:val="000000"/>
          <w:sz w:val="32"/>
          <w:szCs w:val="32"/>
          <w:lang w:val="en-US" w:eastAsia="zh-CN"/>
        </w:rPr>
        <w:t>组织2025年春、秋学期期中、期末课程考试考务及考风考纪巡查工作，协助教务处做好毕业论文专项检查、期中教学质量检查，开展两轮审核评估二级学院自评自建工作专项检查，</w:t>
      </w:r>
      <w:r>
        <w:rPr>
          <w:rFonts w:hint="default" w:ascii="Times New Roman" w:hAnsi="Times New Roman" w:eastAsia="仿宋_GB2312" w:cs="Times New Roman"/>
          <w:b/>
          <w:bCs/>
          <w:color w:val="000000"/>
          <w:sz w:val="32"/>
          <w:szCs w:val="32"/>
          <w:lang w:val="en-US" w:eastAsia="zh-CN"/>
        </w:rPr>
        <w:t>累计检查档案材料769份，推动教学管理规范化。</w:t>
      </w:r>
    </w:p>
    <w:p w14:paraId="0E4832F1">
      <w:pPr>
        <w:adjustRightInd w:val="0"/>
        <w:spacing w:line="500" w:lineRule="exact"/>
        <w:ind w:firstLine="643" w:firstLineChars="200"/>
        <w:rPr>
          <w:rFonts w:hint="default" w:ascii="Times New Roman" w:hAnsi="Times New Roman" w:eastAsia="仿宋_GB2312" w:cs="Times New Roman"/>
          <w:b/>
          <w:bCs/>
          <w:color w:val="000000"/>
          <w:sz w:val="32"/>
          <w:szCs w:val="32"/>
          <w:lang w:val="en-US" w:eastAsia="zh-CN"/>
        </w:rPr>
      </w:pPr>
      <w:r>
        <w:rPr>
          <w:rFonts w:hint="eastAsia" w:ascii="Times New Roman" w:hAnsi="Times New Roman" w:eastAsia="仿宋_GB2312" w:cs="Times New Roman"/>
          <w:b/>
          <w:bCs/>
          <w:color w:val="000000"/>
          <w:sz w:val="32"/>
          <w:szCs w:val="32"/>
          <w:lang w:val="en-US" w:eastAsia="zh-CN"/>
        </w:rPr>
        <w:t>四</w:t>
      </w:r>
      <w:r>
        <w:rPr>
          <w:rFonts w:hint="default" w:ascii="Times New Roman" w:hAnsi="Times New Roman" w:eastAsia="仿宋_GB2312" w:cs="Times New Roman"/>
          <w:b/>
          <w:bCs/>
          <w:color w:val="000000"/>
          <w:sz w:val="32"/>
          <w:szCs w:val="32"/>
          <w:lang w:val="en-US" w:eastAsia="zh-CN"/>
        </w:rPr>
        <w:t>、学位授权严规范，专业评估提质效</w:t>
      </w:r>
    </w:p>
    <w:p w14:paraId="175A5E66">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以</w:t>
      </w:r>
      <w:r>
        <w:rPr>
          <w:rFonts w:hint="eastAsia" w:ascii="Times New Roman" w:hAnsi="Times New Roman" w:eastAsia="仿宋_GB2312" w:cs="Times New Roman"/>
          <w:color w:val="000000"/>
          <w:sz w:val="32"/>
          <w:szCs w:val="32"/>
          <w:lang w:val="en-US" w:eastAsia="zh-CN"/>
        </w:rPr>
        <w:t>专业授权、</w:t>
      </w:r>
      <w:r>
        <w:rPr>
          <w:rFonts w:hint="default" w:ascii="Times New Roman" w:hAnsi="Times New Roman" w:eastAsia="仿宋_GB2312" w:cs="Times New Roman"/>
          <w:color w:val="000000"/>
          <w:sz w:val="32"/>
          <w:szCs w:val="32"/>
          <w:lang w:val="en-US" w:eastAsia="zh-CN"/>
        </w:rPr>
        <w:t>专业评估</w:t>
      </w:r>
      <w:r>
        <w:rPr>
          <w:rFonts w:hint="eastAsia" w:ascii="Times New Roman" w:hAnsi="Times New Roman" w:eastAsia="仿宋_GB2312" w:cs="Times New Roman"/>
          <w:color w:val="000000"/>
          <w:sz w:val="32"/>
          <w:szCs w:val="32"/>
          <w:lang w:val="en-US" w:eastAsia="zh-CN"/>
        </w:rPr>
        <w:t>与</w:t>
      </w:r>
      <w:r>
        <w:rPr>
          <w:rFonts w:hint="default" w:ascii="Times New Roman" w:hAnsi="Times New Roman" w:eastAsia="仿宋_GB2312" w:cs="Times New Roman"/>
          <w:color w:val="000000"/>
          <w:sz w:val="32"/>
          <w:szCs w:val="32"/>
          <w:lang w:val="en-US" w:eastAsia="zh-CN"/>
        </w:rPr>
        <w:t>认证为抓手，强化专业动态监测与内涵建设，推动专业发展提质增效，激活学科专业发展活力。</w:t>
      </w:r>
    </w:p>
    <w:p w14:paraId="550BF94C">
      <w:pPr>
        <w:numPr>
          <w:ilvl w:val="0"/>
          <w:numId w:val="0"/>
        </w:numPr>
        <w:adjustRightInd w:val="0"/>
        <w:spacing w:line="500" w:lineRule="exact"/>
        <w:ind w:firstLine="620" w:firstLineChars="200"/>
        <w:rPr>
          <w:rFonts w:hint="eastAsia" w:ascii="Times New Roman" w:hAnsi="Times New Roman" w:eastAsia="仿宋_GB2312" w:cs="Times New Roman"/>
          <w:color w:val="000000"/>
          <w:sz w:val="32"/>
          <w:szCs w:val="32"/>
          <w:lang w:val="en-US" w:eastAsia="zh-CN"/>
        </w:rPr>
      </w:pPr>
      <w:r>
        <w:rPr>
          <w:rFonts w:ascii="Segoe UI Symbol" w:hAnsi="Segoe UI Symbol" w:eastAsia="Segoe UI Symbol" w:cs="Segoe UI Symbol"/>
          <w:color w:val="000000"/>
          <w:kern w:val="0"/>
          <w:sz w:val="31"/>
          <w:szCs w:val="31"/>
          <w:lang w:val="en-US" w:eastAsia="zh-CN" w:bidi="ar"/>
        </w:rPr>
        <w:t>★</w:t>
      </w:r>
      <w:r>
        <w:rPr>
          <w:rFonts w:hint="default"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US" w:eastAsia="zh-CN"/>
        </w:rPr>
        <w:t>一</w:t>
      </w:r>
      <w:r>
        <w:rPr>
          <w:rFonts w:hint="default"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lang w:val="en-US" w:eastAsia="zh-CN"/>
        </w:rPr>
        <w:t>学位授权严规范，专业布局拓新篇</w:t>
      </w:r>
    </w:p>
    <w:p w14:paraId="336BD870">
      <w:pPr>
        <w:numPr>
          <w:ilvl w:val="0"/>
          <w:numId w:val="0"/>
        </w:numPr>
        <w:adjustRightInd w:val="0"/>
        <w:spacing w:line="500" w:lineRule="exact"/>
        <w:ind w:firstLine="643"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全年新增4个学士学位授权专业</w:t>
      </w:r>
      <w:r>
        <w:rPr>
          <w:rFonts w:hint="eastAsia" w:ascii="Times New Roman" w:hAnsi="Times New Roman" w:eastAsia="仿宋_GB2312" w:cs="Times New Roman"/>
          <w:b/>
          <w:bCs/>
          <w:color w:val="000000"/>
          <w:sz w:val="32"/>
          <w:szCs w:val="32"/>
          <w:lang w:val="en-US" w:eastAsia="zh-CN"/>
        </w:rPr>
        <w:t>（</w:t>
      </w:r>
      <w:r>
        <w:rPr>
          <w:rFonts w:hint="eastAsia" w:ascii="仿宋_GB2312" w:hAnsi="华文仿宋" w:eastAsia="仿宋_GB2312"/>
          <w:b/>
          <w:color w:val="000000"/>
          <w:sz w:val="32"/>
          <w:szCs w:val="32"/>
        </w:rPr>
        <w:t>信用风险管理与法律防控、应急管理、食品营养与健康和数字经济</w:t>
      </w:r>
      <w:r>
        <w:rPr>
          <w:rFonts w:hint="eastAsia" w:ascii="Times New Roman" w:hAnsi="Times New Roman" w:eastAsia="仿宋_GB2312" w:cs="Times New Roman"/>
          <w:b/>
          <w:bCs/>
          <w:color w:val="000000"/>
          <w:sz w:val="32"/>
          <w:szCs w:val="32"/>
          <w:lang w:val="en-US" w:eastAsia="zh-CN"/>
        </w:rPr>
        <w:t>）</w:t>
      </w:r>
      <w:r>
        <w:rPr>
          <w:rFonts w:hint="default" w:ascii="Times New Roman" w:hAnsi="Times New Roman" w:eastAsia="仿宋_GB2312" w:cs="Times New Roman"/>
          <w:b/>
          <w:bCs/>
          <w:color w:val="000000"/>
          <w:sz w:val="32"/>
          <w:szCs w:val="32"/>
          <w:lang w:val="en-US" w:eastAsia="zh-CN"/>
        </w:rPr>
        <w:t>，并组织首次招生的氢能科学与工程、数字人文2个专业开展学士学位授权申请工作。</w:t>
      </w:r>
      <w:r>
        <w:rPr>
          <w:rFonts w:hint="default" w:ascii="Times New Roman" w:hAnsi="Times New Roman" w:eastAsia="仿宋_GB2312" w:cs="Times New Roman"/>
          <w:color w:val="000000"/>
          <w:sz w:val="32"/>
          <w:szCs w:val="32"/>
          <w:lang w:val="en-US" w:eastAsia="zh-CN"/>
        </w:rPr>
        <w:t>严格对照江苏省学士学位授权审核标准，统筹校内外优质资源，协助专业完成申请材料准备、校内统稿、专家评审等工作。11月16日、18日分别组织召开专家评审会，2个专业顺利通过</w:t>
      </w:r>
      <w:r>
        <w:rPr>
          <w:rFonts w:hint="eastAsia" w:ascii="Times New Roman" w:hAnsi="Times New Roman" w:eastAsia="仿宋_GB2312" w:cs="Times New Roman"/>
          <w:color w:val="000000"/>
          <w:sz w:val="32"/>
          <w:szCs w:val="32"/>
          <w:lang w:val="en-US" w:eastAsia="zh-CN"/>
        </w:rPr>
        <w:t>专家组</w:t>
      </w:r>
      <w:r>
        <w:rPr>
          <w:rFonts w:hint="default" w:ascii="Times New Roman" w:hAnsi="Times New Roman" w:eastAsia="仿宋_GB2312" w:cs="Times New Roman"/>
          <w:color w:val="000000"/>
          <w:sz w:val="32"/>
          <w:szCs w:val="32"/>
          <w:lang w:val="en-US" w:eastAsia="zh-CN"/>
        </w:rPr>
        <w:t>评审，经学校学位评定委员会审定、党委会研究及公示后，按期报送省学位办审核，为学校学科专业布局优化与人才培养拓展新空间。</w:t>
      </w:r>
    </w:p>
    <w:p w14:paraId="51216385">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二</w:t>
      </w:r>
      <w:r>
        <w:rPr>
          <w:rFonts w:hint="default" w:ascii="Times New Roman" w:hAnsi="Times New Roman" w:eastAsia="仿宋_GB2312" w:cs="Times New Roman"/>
          <w:color w:val="000000"/>
          <w:sz w:val="32"/>
          <w:szCs w:val="32"/>
          <w:lang w:val="en-US" w:eastAsia="zh-CN"/>
        </w:rPr>
        <w:t>）深化专业认证，巩固提升认证成效</w:t>
      </w:r>
    </w:p>
    <w:p w14:paraId="7FDF5C52">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严格按照《普通高等学校师范类专业认证状态保持监控办法（2023版）》要求，组织14个师范类专业及软件工程专业做好年度报备材料准备与提交工作，加强材料检查与持续改进情况跟踪，确保认证状态稳步保持。在12个中学教育师范专业2025年7月认证有效期满后，对标三级认证标准，积极</w:t>
      </w:r>
      <w:r>
        <w:rPr>
          <w:rFonts w:hint="eastAsia" w:ascii="Times New Roman" w:hAnsi="Times New Roman" w:eastAsia="仿宋_GB2312" w:cs="Times New Roman"/>
          <w:color w:val="000000"/>
          <w:sz w:val="32"/>
          <w:szCs w:val="32"/>
          <w:lang w:val="en-US" w:eastAsia="zh-CN"/>
        </w:rPr>
        <w:t>谋划</w:t>
      </w:r>
      <w:r>
        <w:rPr>
          <w:rFonts w:hint="default" w:ascii="Times New Roman" w:hAnsi="Times New Roman" w:eastAsia="仿宋_GB2312" w:cs="Times New Roman"/>
          <w:color w:val="000000"/>
          <w:sz w:val="32"/>
          <w:szCs w:val="32"/>
          <w:lang w:val="en-US" w:eastAsia="zh-CN"/>
        </w:rPr>
        <w:t>推进三级认证申请准备工作。</w:t>
      </w:r>
    </w:p>
    <w:p w14:paraId="4072FC13">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部门</w:t>
      </w:r>
      <w:r>
        <w:rPr>
          <w:rFonts w:hint="default" w:ascii="Times New Roman" w:hAnsi="Times New Roman" w:eastAsia="仿宋_GB2312" w:cs="Times New Roman"/>
          <w:color w:val="000000"/>
          <w:sz w:val="32"/>
          <w:szCs w:val="32"/>
          <w:lang w:val="en-US" w:eastAsia="zh-CN"/>
        </w:rPr>
        <w:t>严格遵循“分步推进、优先投入、成果受益”原则，对标OBE认证理念与标准，</w:t>
      </w:r>
      <w:r>
        <w:rPr>
          <w:rFonts w:hint="default" w:ascii="Times New Roman" w:hAnsi="Times New Roman" w:eastAsia="仿宋_GB2312" w:cs="Times New Roman"/>
          <w:b/>
          <w:bCs/>
          <w:color w:val="000000"/>
          <w:sz w:val="32"/>
          <w:szCs w:val="32"/>
          <w:lang w:val="en-US" w:eastAsia="zh-CN"/>
        </w:rPr>
        <w:t>聚焦生物工程、环境工程、电子信息工程、生物制药4个专业</w:t>
      </w:r>
      <w:r>
        <w:rPr>
          <w:rFonts w:hint="eastAsia" w:ascii="Times New Roman" w:hAnsi="Times New Roman" w:eastAsia="仿宋_GB2312" w:cs="Times New Roman"/>
          <w:b/>
          <w:bCs/>
          <w:color w:val="000000"/>
          <w:sz w:val="32"/>
          <w:szCs w:val="32"/>
          <w:lang w:val="en-US" w:eastAsia="zh-CN"/>
        </w:rPr>
        <w:t>的申报材料</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拆解课程体系、师资队伍、实践环节等核心指标，精准把握认证要求，提升材料撰写的专业性与契合度，为认证工作持续推进奠定坚实基础。</w:t>
      </w:r>
    </w:p>
    <w:p w14:paraId="00554AE2">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三</w:t>
      </w:r>
      <w:r>
        <w:rPr>
          <w:rFonts w:hint="default" w:ascii="Times New Roman" w:hAnsi="Times New Roman" w:eastAsia="仿宋_GB2312" w:cs="Times New Roman"/>
          <w:color w:val="000000"/>
          <w:sz w:val="32"/>
          <w:szCs w:val="32"/>
          <w:lang w:val="en-US" w:eastAsia="zh-CN"/>
        </w:rPr>
        <w:t>）统筹校内评估，精准赋能专业建设</w:t>
      </w:r>
    </w:p>
    <w:p w14:paraId="4C7002FC">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w:t>
      </w:r>
      <w:r>
        <w:rPr>
          <w:rFonts w:hint="eastAsia" w:ascii="Times New Roman" w:hAnsi="Times New Roman" w:eastAsia="仿宋_GB2312" w:cs="Times New Roman"/>
          <w:color w:val="000000"/>
          <w:sz w:val="32"/>
          <w:szCs w:val="32"/>
          <w:lang w:val="en-US" w:eastAsia="zh-CN"/>
        </w:rPr>
        <w:t>学校</w:t>
      </w:r>
      <w:r>
        <w:rPr>
          <w:rFonts w:hint="default" w:ascii="Times New Roman" w:hAnsi="Times New Roman" w:eastAsia="仿宋_GB2312" w:cs="Times New Roman"/>
          <w:color w:val="000000"/>
          <w:sz w:val="32"/>
          <w:szCs w:val="32"/>
          <w:lang w:val="en-US" w:eastAsia="zh-CN"/>
        </w:rPr>
        <w:t>秋学期党政工作要求，秋学期启动翻译、环境工程2个专业校内专业评估工作，严格对照指标体系，从师资队伍、人才培养方案、课程建设等多个维度开展全方位精准测评，梳理专业建设亮点与不足，明确改进方向，为专业内涵提升提供有力支撑。</w:t>
      </w:r>
    </w:p>
    <w:p w14:paraId="65655929">
      <w:pPr>
        <w:adjustRightInd w:val="0"/>
        <w:spacing w:line="500" w:lineRule="exact"/>
        <w:ind w:firstLine="643" w:firstLineChars="200"/>
        <w:rPr>
          <w:rFonts w:hint="default" w:ascii="Times New Roman" w:hAnsi="Times New Roman" w:eastAsia="仿宋_GB2312" w:cs="Times New Roman"/>
          <w:b/>
          <w:bCs/>
          <w:color w:val="000000"/>
          <w:sz w:val="32"/>
          <w:szCs w:val="32"/>
          <w:lang w:val="en-US" w:eastAsia="zh-CN"/>
        </w:rPr>
      </w:pPr>
      <w:r>
        <w:rPr>
          <w:rFonts w:hint="eastAsia" w:ascii="Times New Roman" w:hAnsi="Times New Roman" w:eastAsia="仿宋_GB2312" w:cs="Times New Roman"/>
          <w:b/>
          <w:bCs/>
          <w:color w:val="000000"/>
          <w:sz w:val="32"/>
          <w:szCs w:val="32"/>
          <w:lang w:val="en-US" w:eastAsia="zh-CN"/>
        </w:rPr>
        <w:t>五</w:t>
      </w:r>
      <w:r>
        <w:rPr>
          <w:rFonts w:hint="default" w:ascii="Times New Roman" w:hAnsi="Times New Roman" w:eastAsia="仿宋_GB2312" w:cs="Times New Roman"/>
          <w:b/>
          <w:bCs/>
          <w:color w:val="000000"/>
          <w:sz w:val="32"/>
          <w:szCs w:val="32"/>
          <w:lang w:val="en-US" w:eastAsia="zh-CN"/>
        </w:rPr>
        <w:t>、数据赋能强监测，精准施策促发展</w:t>
      </w:r>
    </w:p>
    <w:p w14:paraId="044DB520">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以高等教育质量监测国家数据平台填报、教学质量报告编制为核心，强化数据采集、分析与应用，为教育教学决策提供科学支撑。</w:t>
      </w:r>
    </w:p>
    <w:p w14:paraId="2590B3E9">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（一）高质量完成数据填报，夯实监测基础</w:t>
      </w:r>
    </w:p>
    <w:p w14:paraId="0309FF35">
      <w:pPr>
        <w:adjustRightInd w:val="0"/>
        <w:spacing w:line="500" w:lineRule="exact"/>
        <w:ind w:firstLine="640" w:firstLineChars="200"/>
        <w:rPr>
          <w:rFonts w:hint="default" w:ascii="Times New Roman" w:hAnsi="Times New Roman" w:eastAsia="仿宋_GB2312" w:cs="Times New Roman"/>
          <w:color w:val="000000"/>
          <w:sz w:val="32"/>
          <w:szCs w:val="32"/>
          <w:highlight w:val="none"/>
          <w:lang w:val="en-US" w:eastAsia="zh-CN"/>
        </w:rPr>
      </w:pPr>
      <w:bookmarkStart w:id="0" w:name="_GoBack"/>
      <w:bookmarkEnd w:id="0"/>
      <w:r>
        <w:rPr>
          <w:rFonts w:hint="eastAsia" w:ascii="Times New Roman" w:hAnsi="Times New Roman" w:eastAsia="仿宋_GB2312" w:cs="Times New Roman"/>
          <w:color w:val="000000"/>
          <w:sz w:val="32"/>
          <w:szCs w:val="32"/>
          <w:highlight w:val="none"/>
          <w:lang w:val="en-US" w:eastAsia="zh-CN"/>
        </w:rPr>
        <w:t>2025年状态数据采集发生了重大改变，这次数据采集依托教育部教育管理信息中心数据网络开展，覆盖院校、专业、学科三大维度，涵盖师资队伍、教学过程、科研成果、学生发展等全链条信息。部门</w:t>
      </w:r>
      <w:r>
        <w:rPr>
          <w:rFonts w:hint="default" w:ascii="Times New Roman" w:hAnsi="Times New Roman" w:eastAsia="仿宋_GB2312" w:cs="Times New Roman"/>
          <w:color w:val="000000"/>
          <w:sz w:val="32"/>
          <w:szCs w:val="32"/>
          <w:highlight w:val="none"/>
          <w:lang w:val="en-US" w:eastAsia="zh-CN"/>
        </w:rPr>
        <w:t>牵头制定2025年普通高等学校学科专业数据资源采集工作方案与任务分解表，联合各职能部门与二级学院，</w:t>
      </w:r>
      <w:r>
        <w:rPr>
          <w:rFonts w:hint="eastAsia" w:ascii="Times New Roman" w:hAnsi="Times New Roman" w:eastAsia="仿宋_GB2312" w:cs="Times New Roman"/>
          <w:color w:val="000000"/>
          <w:sz w:val="32"/>
          <w:szCs w:val="32"/>
          <w:highlight w:val="none"/>
          <w:lang w:val="en-US" w:eastAsia="zh-CN"/>
        </w:rPr>
        <w:t>总计填报</w:t>
      </w:r>
      <w:r>
        <w:rPr>
          <w:rFonts w:hint="default" w:ascii="Times New Roman" w:hAnsi="Times New Roman" w:eastAsia="仿宋_GB2312" w:cs="Times New Roman"/>
          <w:color w:val="000000"/>
          <w:sz w:val="32"/>
          <w:szCs w:val="32"/>
          <w:highlight w:val="none"/>
          <w:lang w:val="en-US" w:eastAsia="zh-CN"/>
        </w:rPr>
        <w:t>17大类，153张表</w:t>
      </w:r>
      <w:r>
        <w:rPr>
          <w:rFonts w:hint="eastAsia" w:ascii="Times New Roman" w:hAnsi="Times New Roman" w:eastAsia="仿宋_GB2312" w:cs="Times New Roman"/>
          <w:color w:val="000000"/>
          <w:sz w:val="32"/>
          <w:szCs w:val="32"/>
          <w:highlight w:val="none"/>
          <w:lang w:val="en-US" w:eastAsia="zh-CN"/>
        </w:rPr>
        <w:t>，超15万条数据。截止目前，此项工作还在进行中</w:t>
      </w:r>
      <w:r>
        <w:rPr>
          <w:rFonts w:hint="default" w:ascii="Times New Roman" w:hAnsi="Times New Roman" w:eastAsia="仿宋_GB2312" w:cs="Times New Roman"/>
          <w:color w:val="000000"/>
          <w:sz w:val="32"/>
          <w:szCs w:val="32"/>
          <w:highlight w:val="none"/>
          <w:lang w:val="en-US" w:eastAsia="zh-CN"/>
        </w:rPr>
        <w:t>。</w:t>
      </w:r>
    </w:p>
    <w:p w14:paraId="4D71CDE5">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二</w:t>
      </w:r>
      <w:r>
        <w:rPr>
          <w:rFonts w:hint="default" w:ascii="Times New Roman" w:hAnsi="Times New Roman" w:eastAsia="仿宋_GB2312" w:cs="Times New Roman"/>
          <w:color w:val="000000"/>
          <w:sz w:val="32"/>
          <w:szCs w:val="32"/>
          <w:lang w:val="en-US" w:eastAsia="zh-CN"/>
        </w:rPr>
        <w:t>）开展专业监测画像，助力特色发展</w:t>
      </w:r>
    </w:p>
    <w:p w14:paraId="3CDFC489">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积极申请本科专业</w:t>
      </w:r>
      <w:r>
        <w:rPr>
          <w:rFonts w:hint="eastAsia" w:ascii="仿宋_GB2312" w:hAnsi="仿宋_GB2312" w:eastAsia="仿宋_GB2312" w:cs="仿宋_GB2312"/>
          <w:color w:val="000000"/>
          <w:sz w:val="32"/>
          <w:szCs w:val="32"/>
          <w:lang w:val="en-US" w:eastAsia="zh-CN"/>
        </w:rPr>
        <w:t>“监测”</w:t>
      </w:r>
      <w:r>
        <w:rPr>
          <w:rFonts w:hint="default" w:ascii="Times New Roman" w:hAnsi="Times New Roman" w:eastAsia="仿宋_GB2312" w:cs="Times New Roman"/>
          <w:color w:val="000000"/>
          <w:sz w:val="32"/>
          <w:szCs w:val="32"/>
          <w:lang w:val="en-US" w:eastAsia="zh-CN"/>
        </w:rPr>
        <w:t>画像工作，完成服务系统申请，明确年度服务事项与定制需求，通过专业画像挖掘学校专业优势，为专业内涵建设与特色发展提供参考，推动专业建设精准发力、提质增效。</w:t>
      </w:r>
    </w:p>
    <w:p w14:paraId="37D8AB54">
      <w:pPr>
        <w:adjustRightInd w:val="0"/>
        <w:spacing w:line="500" w:lineRule="exact"/>
        <w:ind w:firstLine="643" w:firstLineChars="200"/>
        <w:rPr>
          <w:rFonts w:hint="default" w:ascii="Times New Roman" w:hAnsi="Times New Roman" w:eastAsia="仿宋_GB2312" w:cs="Times New Roman"/>
          <w:b/>
          <w:bCs/>
          <w:color w:val="000000"/>
          <w:sz w:val="32"/>
          <w:szCs w:val="32"/>
          <w:lang w:val="en-US" w:eastAsia="zh-CN"/>
        </w:rPr>
      </w:pPr>
      <w:r>
        <w:rPr>
          <w:rFonts w:hint="eastAsia" w:ascii="Times New Roman" w:hAnsi="Times New Roman" w:eastAsia="仿宋_GB2312" w:cs="Times New Roman"/>
          <w:b/>
          <w:bCs/>
          <w:color w:val="000000"/>
          <w:sz w:val="32"/>
          <w:szCs w:val="32"/>
          <w:lang w:val="en-US" w:eastAsia="zh-CN"/>
        </w:rPr>
        <w:t>六</w:t>
      </w:r>
      <w:r>
        <w:rPr>
          <w:rFonts w:hint="default" w:ascii="Times New Roman" w:hAnsi="Times New Roman" w:eastAsia="仿宋_GB2312" w:cs="Times New Roman"/>
          <w:b/>
          <w:bCs/>
          <w:color w:val="000000"/>
          <w:sz w:val="32"/>
          <w:szCs w:val="32"/>
          <w:lang w:val="en-US" w:eastAsia="zh-CN"/>
        </w:rPr>
        <w:t>、协同发力促发展，其他工作见实效</w:t>
      </w:r>
    </w:p>
    <w:p w14:paraId="3ECE66F1">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统筹推进招生宣传、二级学院教学管理考核等工作，强化部门协同，确保各项工作落地见效，为学校发展添砖加瓦。</w:t>
      </w:r>
    </w:p>
    <w:p w14:paraId="301BFF9B">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（一）招生宣传成效显著</w:t>
      </w:r>
    </w:p>
    <w:p w14:paraId="5BE80D38">
      <w:pPr>
        <w:adjustRightInd w:val="0"/>
        <w:spacing w:line="480" w:lineRule="exact"/>
        <w:ind w:firstLine="640" w:firstLineChars="200"/>
        <w:rPr>
          <w:rFonts w:ascii="仿宋_GB2312" w:hAnsi="华文仿宋" w:eastAsia="仿宋_GB2312"/>
          <w:bCs/>
          <w:color w:val="000000"/>
          <w:sz w:val="32"/>
          <w:szCs w:val="32"/>
        </w:rPr>
      </w:pPr>
      <w:r>
        <w:rPr>
          <w:rFonts w:hint="default" w:ascii="Times New Roman" w:hAnsi="Times New Roman" w:eastAsia="仿宋_GB2312" w:cs="Times New Roman"/>
          <w:color w:val="000000"/>
          <w:sz w:val="32"/>
          <w:szCs w:val="32"/>
          <w:lang w:val="en-US" w:eastAsia="zh-CN"/>
        </w:rPr>
        <w:t>按学校工作安排，组织人员赴徐州新沂多所中学开展招生宣传工作，通过发放宣传资料、现场咨询等方式，向考生及家长介绍学校办学特色、专业优势与招生政策，为学校生源质量提升贡献力量。</w:t>
      </w:r>
      <w:r>
        <w:rPr>
          <w:rFonts w:hint="eastAsia" w:ascii="仿宋_GB2312" w:hAnsi="华文仿宋" w:eastAsia="仿宋_GB2312"/>
          <w:bCs/>
          <w:color w:val="000000"/>
          <w:sz w:val="32"/>
          <w:szCs w:val="32"/>
        </w:rPr>
        <w:t>部门获2</w:t>
      </w:r>
      <w:r>
        <w:rPr>
          <w:rFonts w:ascii="仿宋_GB2312" w:hAnsi="华文仿宋" w:eastAsia="仿宋_GB2312"/>
          <w:bCs/>
          <w:color w:val="000000"/>
          <w:sz w:val="32"/>
          <w:szCs w:val="32"/>
        </w:rPr>
        <w:t>02</w:t>
      </w:r>
      <w:r>
        <w:rPr>
          <w:rFonts w:hint="eastAsia" w:ascii="仿宋_GB2312" w:hAnsi="华文仿宋" w:eastAsia="仿宋_GB2312"/>
          <w:bCs/>
          <w:color w:val="000000"/>
          <w:sz w:val="32"/>
          <w:szCs w:val="32"/>
          <w:lang w:val="en-US" w:eastAsia="zh-CN"/>
        </w:rPr>
        <w:t>5</w:t>
      </w:r>
      <w:r>
        <w:rPr>
          <w:rFonts w:ascii="仿宋_GB2312" w:hAnsi="华文仿宋" w:eastAsia="仿宋_GB2312"/>
          <w:bCs/>
          <w:color w:val="000000"/>
          <w:sz w:val="32"/>
          <w:szCs w:val="32"/>
        </w:rPr>
        <w:t>年招生工作先进集体。</w:t>
      </w:r>
    </w:p>
    <w:p w14:paraId="2806EF0E">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（二）教学管理考核规范</w:t>
      </w:r>
    </w:p>
    <w:p w14:paraId="1E613026">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协</w:t>
      </w:r>
      <w:r>
        <w:rPr>
          <w:rFonts w:hint="default" w:ascii="Times New Roman" w:hAnsi="Times New Roman" w:eastAsia="仿宋_GB2312" w:cs="Times New Roman"/>
          <w:color w:val="000000"/>
          <w:sz w:val="32"/>
          <w:szCs w:val="32"/>
          <w:lang w:val="en-US" w:eastAsia="zh-CN"/>
        </w:rPr>
        <w:t>同教务处，组织学校教学督导组对二级学院教学管理工作进行目标考核，推动校院两级教学管理效能提升。</w:t>
      </w:r>
    </w:p>
    <w:p w14:paraId="31891D01">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（三）巡查整改有序推进</w:t>
      </w:r>
    </w:p>
    <w:p w14:paraId="473CA984">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接受校党委第六轮巡察，严格遵循巡察工作部署，严肃对待、积极配合，认真梳理部门工作台账，系统整理各类支撑材料，</w:t>
      </w:r>
      <w:r>
        <w:rPr>
          <w:rFonts w:hint="eastAsia" w:ascii="Times New Roman" w:hAnsi="Times New Roman" w:eastAsia="仿宋_GB2312" w:cs="Times New Roman"/>
          <w:color w:val="000000"/>
          <w:sz w:val="32"/>
          <w:szCs w:val="32"/>
          <w:lang w:val="en-US" w:eastAsia="zh-CN"/>
        </w:rPr>
        <w:t>按时提交</w:t>
      </w:r>
      <w:r>
        <w:rPr>
          <w:rFonts w:hint="default" w:ascii="Times New Roman" w:hAnsi="Times New Roman" w:eastAsia="仿宋_GB2312" w:cs="Times New Roman"/>
          <w:color w:val="000000"/>
          <w:sz w:val="32"/>
          <w:szCs w:val="32"/>
          <w:lang w:val="en-US" w:eastAsia="zh-CN"/>
        </w:rPr>
        <w:t>，确保巡察工作有序开展。</w:t>
      </w:r>
    </w:p>
    <w:p w14:paraId="33580272">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（四）做好先进评选，激发工作热情</w:t>
      </w:r>
    </w:p>
    <w:p w14:paraId="42FFCC82">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完成审核评估先进集体与个人评选，表彰先进集体15个、个人133名，激发全校师生参与评建的积极性。</w:t>
      </w:r>
    </w:p>
    <w:p w14:paraId="53D4EDDA">
      <w:pPr>
        <w:adjustRightInd w:val="0"/>
        <w:spacing w:line="500" w:lineRule="exact"/>
        <w:ind w:firstLine="643"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b/>
          <w:bCs/>
          <w:color w:val="000000"/>
          <w:sz w:val="32"/>
          <w:szCs w:val="32"/>
          <w:lang w:val="en-US" w:eastAsia="zh-CN"/>
        </w:rPr>
        <w:t>七</w:t>
      </w:r>
      <w:r>
        <w:rPr>
          <w:rFonts w:hint="default" w:ascii="Times New Roman" w:hAnsi="Times New Roman" w:eastAsia="仿宋_GB2312" w:cs="Times New Roman"/>
          <w:b/>
          <w:bCs/>
          <w:color w:val="000000"/>
          <w:sz w:val="32"/>
          <w:szCs w:val="32"/>
          <w:lang w:val="en-US" w:eastAsia="zh-CN"/>
        </w:rPr>
        <w:t>、复盘总结明方向，砥砺奋进再出发</w:t>
      </w:r>
    </w:p>
    <w:p w14:paraId="4B2D5F5B">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2025年，评估处在党建引领、迎评攻坚、质量保障、专业建设等方面取得显著成效，但也存在一些不足：一是质量文化建设的深度与广度有待拓展，师生质量意识需进一步强化；二是教学督导方式方法的创新性不足，数字化、智能化督导水平需持续提升；三是部门间协同联动的高效性有待加强。</w:t>
      </w:r>
    </w:p>
    <w:p w14:paraId="46BF6A93">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2026年，评估处将以习近平新时代中国特色社会主义思想为指导，紧扣学校人才培养中心工作，重点做好以下工作：一是持续深化党建与业务融合，强化作风建设与队伍建设；二是狠抓审核评估整改落实，做好整改“后半篇”文章；三是深化数字化督导应用，完善质量监控闭环体系；四是持续推进专业评估与认证，提升专业竞争力；五是优化数据采集与应用机制，深化专业监测画像工作，以数据赋能教育教学决策；六是加强部门协同联动，拓展质量文化建设路径，营造全员参与、追求卓越的质量氛围。</w:t>
      </w:r>
    </w:p>
    <w:p w14:paraId="7B8CD6C9">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p>
    <w:p w14:paraId="4FD59805">
      <w:pPr>
        <w:adjustRightInd w:val="0"/>
        <w:spacing w:line="500" w:lineRule="exact"/>
        <w:ind w:firstLine="640" w:firstLineChars="200"/>
        <w:rPr>
          <w:rFonts w:hint="default" w:ascii="Times New Roman" w:hAnsi="Times New Roman" w:eastAsia="仿宋_GB2312" w:cs="Times New Roman"/>
          <w:color w:val="000000"/>
          <w:sz w:val="32"/>
          <w:szCs w:val="32"/>
          <w:lang w:val="en-US" w:eastAsia="zh-CN"/>
        </w:rPr>
      </w:pPr>
    </w:p>
    <w:p w14:paraId="377EF04F">
      <w:pPr>
        <w:adjustRightInd w:val="0"/>
        <w:spacing w:line="500" w:lineRule="exact"/>
        <w:ind w:firstLine="640" w:firstLineChars="200"/>
        <w:jc w:val="right"/>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评估处</w:t>
      </w:r>
    </w:p>
    <w:p w14:paraId="16BED594">
      <w:pPr>
        <w:adjustRightInd w:val="0"/>
        <w:spacing w:line="500" w:lineRule="exact"/>
        <w:ind w:firstLine="640" w:firstLineChars="200"/>
        <w:jc w:val="right"/>
        <w:rPr>
          <w:rFonts w:hint="default" w:ascii="Times New Roman" w:hAnsi="Times New Roman" w:eastAsia="仿宋_GB2312" w:cs="Times New Roman"/>
          <w:sz w:val="28"/>
          <w:szCs w:val="36"/>
        </w:rPr>
      </w:pPr>
      <w:r>
        <w:rPr>
          <w:rFonts w:hint="default" w:ascii="Times New Roman" w:hAnsi="Times New Roman" w:eastAsia="仿宋_GB2312" w:cs="Times New Roman"/>
          <w:color w:val="000000"/>
          <w:sz w:val="32"/>
          <w:szCs w:val="32"/>
          <w:lang w:val="en-US" w:eastAsia="zh-CN"/>
        </w:rPr>
        <w:t>2025年12月8日</w:t>
      </w: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embedRegular r:id="rId1" w:fontKey="{6B092526-E061-43C9-9317-6D206AC74844}"/>
  </w:font>
  <w:font w:name="华文中宋">
    <w:panose1 w:val="02010600040101010101"/>
    <w:charset w:val="86"/>
    <w:family w:val="auto"/>
    <w:pitch w:val="default"/>
    <w:sig w:usb0="00000287" w:usb1="080F0000" w:usb2="00000000" w:usb3="00000000" w:csb0="0004009F" w:csb1="DFD70000"/>
    <w:embedRegular r:id="rId2" w:fontKey="{4E3E56BB-E6E5-4041-9CA8-EC33ECFA1D4C}"/>
  </w:font>
  <w:font w:name="仿宋_GB2312">
    <w:panose1 w:val="02010609030101010101"/>
    <w:charset w:val="86"/>
    <w:family w:val="auto"/>
    <w:pitch w:val="default"/>
    <w:sig w:usb0="00000001" w:usb1="080E0000" w:usb2="00000000" w:usb3="00000000" w:csb0="00040000" w:csb1="00000000"/>
    <w:embedRegular r:id="rId3" w:fontKey="{C0B9CBC0-18CE-421A-AFEE-45542071F972}"/>
  </w:font>
  <w:font w:name="华文仿宋">
    <w:altName w:val="仿宋"/>
    <w:panose1 w:val="02010600040101010101"/>
    <w:charset w:val="86"/>
    <w:family w:val="auto"/>
    <w:pitch w:val="default"/>
    <w:sig w:usb0="00000000" w:usb1="00000000" w:usb2="00000010" w:usb3="00000000" w:csb0="0004009F" w:csb1="00000000"/>
    <w:embedRegular r:id="rId4" w:fontKey="{178DA0FD-BA14-4968-967C-7A525C33A7F1}"/>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embedRegular r:id="rId5" w:fontKey="{F10DFE19-C8CD-42D1-935B-22D85A5482A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3CC95"/>
    <w:multiLevelType w:val="singleLevel"/>
    <w:tmpl w:val="2833C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8725E1"/>
    <w:rsid w:val="0E807E3A"/>
    <w:rsid w:val="143B29A7"/>
    <w:rsid w:val="15BD7BC5"/>
    <w:rsid w:val="17422C97"/>
    <w:rsid w:val="20293E66"/>
    <w:rsid w:val="214232A1"/>
    <w:rsid w:val="25911EA4"/>
    <w:rsid w:val="2D99286E"/>
    <w:rsid w:val="321E52F7"/>
    <w:rsid w:val="333921CF"/>
    <w:rsid w:val="33C817B8"/>
    <w:rsid w:val="348B5BB3"/>
    <w:rsid w:val="383B64F4"/>
    <w:rsid w:val="3B8A2968"/>
    <w:rsid w:val="3C3259A8"/>
    <w:rsid w:val="40D3343C"/>
    <w:rsid w:val="434765EA"/>
    <w:rsid w:val="4A1946C3"/>
    <w:rsid w:val="51010B40"/>
    <w:rsid w:val="533E3CA7"/>
    <w:rsid w:val="55234D25"/>
    <w:rsid w:val="556179AC"/>
    <w:rsid w:val="57911B35"/>
    <w:rsid w:val="5BCA3A6F"/>
    <w:rsid w:val="60562D2D"/>
    <w:rsid w:val="62DB2A06"/>
    <w:rsid w:val="689E3E86"/>
    <w:rsid w:val="6BA364B8"/>
    <w:rsid w:val="71591CCB"/>
    <w:rsid w:val="77FC0FFD"/>
    <w:rsid w:val="7CF6513B"/>
    <w:rsid w:val="7D5D3575"/>
    <w:rsid w:val="7DEA1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4287</Words>
  <Characters>4377</Characters>
  <Lines>0</Lines>
  <Paragraphs>0</Paragraphs>
  <TotalTime>1</TotalTime>
  <ScaleCrop>false</ScaleCrop>
  <LinksUpToDate>false</LinksUpToDate>
  <CharactersWithSpaces>4377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2025-11-20T01:29:00Z</dcterms:created>
  <dc:creator>Administrator</dc:creator>
  <cp:lastModifiedBy>曹媛</cp:lastModifiedBy>
  <dcterms:modified xsi:type="dcterms:W3CDTF">2025-12-09T01:54:11Z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eyJoZGlkIjoiYmE2NGU1ZWU1MmVjZjg3NjBiNjQzM2U2MmFmZjliYWUiLCJ1c2VySWQiOiI0Mjg4ODAwOTIifQ==</vt:lpwstr>
  </property>
  <property fmtid="{D5CDD505-2E9C-101B-9397-08002B2CF9AE}" pid="4" name="ICV">
    <vt:lpwstr>68607F76EF564B67B827F3AD000C5D8D_12</vt:lpwstr>
  </property>
</Properties>
</file>