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5CA92">
      <w:pPr>
        <w:tabs>
          <w:tab w:val="left" w:pos="7938"/>
        </w:tabs>
        <w:spacing w:before="156" w:beforeLines="50" w:after="156" w:afterLines="50" w:line="560" w:lineRule="exact"/>
        <w:jc w:val="center"/>
        <w:rPr>
          <w:rFonts w:eastAsia="方正小标宋简体"/>
          <w:color w:val="000000"/>
          <w:sz w:val="44"/>
          <w:szCs w:val="44"/>
        </w:rPr>
      </w:pPr>
      <w:bookmarkStart w:id="0" w:name="_Hlk90305385"/>
      <w:r>
        <w:rPr>
          <w:rFonts w:eastAsia="方正小标宋简体"/>
          <w:color w:val="000000"/>
          <w:sz w:val="44"/>
          <w:szCs w:val="44"/>
        </w:rPr>
        <w:t>202</w:t>
      </w:r>
      <w:r>
        <w:rPr>
          <w:rFonts w:hint="eastAsia" w:eastAsia="方正小标宋简体"/>
          <w:color w:val="000000"/>
          <w:sz w:val="44"/>
          <w:szCs w:val="44"/>
        </w:rPr>
        <w:t>5</w:t>
      </w:r>
      <w:r>
        <w:rPr>
          <w:rFonts w:eastAsia="方正小标宋简体"/>
          <w:color w:val="000000"/>
          <w:sz w:val="44"/>
          <w:szCs w:val="44"/>
        </w:rPr>
        <w:t>年工作总结</w:t>
      </w:r>
    </w:p>
    <w:p w14:paraId="054936E2">
      <w:pPr>
        <w:spacing w:before="156" w:beforeLines="50" w:after="156" w:afterLines="50" w:line="520" w:lineRule="exact"/>
        <w:jc w:val="center"/>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科学技术处、产业技术研究院</w:t>
      </w:r>
    </w:p>
    <w:bookmarkEnd w:id="0"/>
    <w:p w14:paraId="64CB2888">
      <w:pPr>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2025年，科学技术处、产业技术研究院认真学习贯彻习近平新时代中国特色社会主义思想，贯彻落实党的二十届四中全会精神，立足学校实际，抢抓机遇、奋勇争先，</w:t>
      </w:r>
      <w:bookmarkStart w:id="1" w:name="_Hlk200526002"/>
      <w:r>
        <w:rPr>
          <w:rFonts w:eastAsia="仿宋_GB2312"/>
          <w:color w:val="000000" w:themeColor="text1"/>
          <w:sz w:val="32"/>
          <w:szCs w:val="32"/>
          <w14:textFill>
            <w14:solidFill>
              <w14:schemeClr w14:val="tx1"/>
            </w14:solidFill>
          </w14:textFill>
        </w:rPr>
        <w:t>以“双高协同”</w:t>
      </w:r>
      <w:r>
        <w:rPr>
          <w:rFonts w:hint="eastAsia" w:eastAsia="仿宋_GB2312"/>
          <w:color w:val="000000" w:themeColor="text1"/>
          <w:sz w:val="32"/>
          <w:szCs w:val="32"/>
          <w14:textFill>
            <w14:solidFill>
              <w14:schemeClr w14:val="tx1"/>
            </w14:solidFill>
          </w14:textFill>
        </w:rPr>
        <w:t>试点</w:t>
      </w:r>
      <w:r>
        <w:rPr>
          <w:rFonts w:eastAsia="仿宋_GB2312"/>
          <w:color w:val="000000" w:themeColor="text1"/>
          <w:sz w:val="32"/>
          <w:szCs w:val="32"/>
          <w14:textFill>
            <w14:solidFill>
              <w14:schemeClr w14:val="tx1"/>
            </w14:solidFill>
          </w14:textFill>
        </w:rPr>
        <w:t>建设为重要牵引，持续推进“高层次科研提升工程”</w:t>
      </w:r>
      <w:bookmarkEnd w:id="1"/>
      <w:r>
        <w:rPr>
          <w:rFonts w:eastAsia="仿宋_GB2312"/>
          <w:color w:val="000000" w:themeColor="text1"/>
          <w:sz w:val="32"/>
          <w:szCs w:val="32"/>
          <w14:textFill>
            <w14:solidFill>
              <w14:schemeClr w14:val="tx1"/>
            </w14:solidFill>
          </w14:textFill>
        </w:rPr>
        <w:t>，深入开展“科研质量提升年”活动，聚焦项目、平台、成果等重点环节，系统优化科研创新布局，明确主研方向和技术攻关突破口，构建协同攻关的组织运行机制，高效打造创新发展竞争力，多元构建融合发展格局，全面提升高质量发展贡献力。现将</w:t>
      </w:r>
      <w:r>
        <w:rPr>
          <w:rFonts w:hint="eastAsia" w:eastAsia="仿宋_GB2312"/>
          <w:color w:val="000000" w:themeColor="text1"/>
          <w:sz w:val="32"/>
          <w:szCs w:val="32"/>
          <w14:textFill>
            <w14:solidFill>
              <w14:schemeClr w14:val="tx1"/>
            </w14:solidFill>
          </w14:textFill>
        </w:rPr>
        <w:t>年度</w:t>
      </w:r>
      <w:r>
        <w:rPr>
          <w:rFonts w:eastAsia="仿宋_GB2312"/>
          <w:color w:val="000000" w:themeColor="text1"/>
          <w:sz w:val="32"/>
          <w:szCs w:val="32"/>
          <w14:textFill>
            <w14:solidFill>
              <w14:schemeClr w14:val="tx1"/>
            </w14:solidFill>
          </w14:textFill>
        </w:rPr>
        <w:t>工作总结如下：</w:t>
      </w:r>
    </w:p>
    <w:p w14:paraId="60DEDE98">
      <w:pPr>
        <w:spacing w:line="520" w:lineRule="exact"/>
        <w:ind w:firstLine="643" w:firstLineChars="200"/>
        <w:rPr>
          <w:rFonts w:eastAsia="仿宋_GB2312"/>
          <w:b/>
          <w:bCs/>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一、始终坚持党建引领，创新打造“党建+科研”特色支部</w:t>
      </w:r>
    </w:p>
    <w:p w14:paraId="610E4A5A">
      <w:pPr>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 积极探索“党建+科研”工作新模式。以习近平新时代中国特色社会主义思想为指导，坚持以党的政治建设为统领，强化党员干部忠诚意识，严守纪律规矩，全面提升党的建设水平。充分结合科研管理职能，深入贯彻中央八项规定精神学习教育，集中开展学习教育活动8次，不断增强党员纪律意识，提高干部党性修养。以服务学校事业发展为宗旨，持续强化“学术头雁”功能型党支部</w:t>
      </w:r>
      <w:bookmarkStart w:id="2" w:name="_Hlk166065601"/>
      <w:r>
        <w:rPr>
          <w:rFonts w:eastAsia="仿宋_GB2312"/>
          <w:color w:val="000000" w:themeColor="text1"/>
          <w:sz w:val="32"/>
          <w:szCs w:val="32"/>
          <w14:textFill>
            <w14:solidFill>
              <w14:schemeClr w14:val="tx1"/>
            </w14:solidFill>
          </w14:textFill>
        </w:rPr>
        <w:t>建设，积极打造“红雁领航·群雁齐飞”品牌，充分释放党建与科研深度融合效应</w:t>
      </w:r>
      <w:bookmarkEnd w:id="2"/>
      <w:r>
        <w:rPr>
          <w:rFonts w:eastAsia="仿宋_GB2312"/>
          <w:color w:val="000000" w:themeColor="text1"/>
          <w:sz w:val="32"/>
          <w:szCs w:val="32"/>
          <w14:textFill>
            <w14:solidFill>
              <w14:schemeClr w14:val="tx1"/>
            </w14:solidFill>
          </w14:textFill>
        </w:rPr>
        <w:t>；组织开展“教育科技人才”一体化发展系列党日活动3次；创新开展“科研育雏”科普教育，推荐一批教师被聘为中小学“科技副校长”。党支部荣获2024年度基层党建工作创新一等奖</w:t>
      </w:r>
      <w:r>
        <w:rPr>
          <w:rFonts w:hint="eastAsia" w:eastAsia="仿宋_GB2312"/>
          <w:color w:val="000000" w:themeColor="text1"/>
          <w:sz w:val="32"/>
          <w:szCs w:val="32"/>
          <w14:textFill>
            <w14:solidFill>
              <w14:schemeClr w14:val="tx1"/>
            </w14:solidFill>
          </w14:textFill>
        </w:rPr>
        <w:t>、</w:t>
      </w:r>
      <w:r>
        <w:rPr>
          <w:rFonts w:eastAsia="仿宋_GB2312"/>
          <w:color w:val="000000" w:themeColor="text1"/>
          <w:sz w:val="32"/>
          <w:szCs w:val="32"/>
          <w14:textFill>
            <w14:solidFill>
              <w14:schemeClr w14:val="tx1"/>
            </w14:solidFill>
          </w14:textFill>
        </w:rPr>
        <w:t>获评学校党建工作样板支部</w:t>
      </w:r>
      <w:r>
        <w:rPr>
          <w:rFonts w:hint="eastAsia" w:eastAsia="仿宋_GB2312"/>
          <w:color w:val="000000" w:themeColor="text1"/>
          <w:sz w:val="32"/>
          <w:szCs w:val="32"/>
          <w14:textFill>
            <w14:solidFill>
              <w14:schemeClr w14:val="tx1"/>
            </w14:solidFill>
          </w14:textFill>
        </w:rPr>
        <w:t>、</w:t>
      </w:r>
      <w:r>
        <w:rPr>
          <w:rFonts w:eastAsia="仿宋_GB2312"/>
          <w:color w:val="000000" w:themeColor="text1"/>
          <w:sz w:val="32"/>
          <w:szCs w:val="32"/>
          <w14:textFill>
            <w14:solidFill>
              <w14:schemeClr w14:val="tx1"/>
            </w14:solidFill>
          </w14:textFill>
        </w:rPr>
        <w:t>获基层党支部“书记项目”和校园廉洁文化活动项目重点资助。</w:t>
      </w:r>
    </w:p>
    <w:p w14:paraId="7C47566D">
      <w:pPr>
        <w:spacing w:line="520" w:lineRule="exact"/>
        <w:ind w:firstLine="643" w:firstLineChars="200"/>
        <w:rPr>
          <w:rFonts w:eastAsia="仿宋_GB2312"/>
          <w:b/>
          <w:bCs/>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二、优化整合科技资源，精准打造高水平科研平台和团队</w:t>
      </w:r>
    </w:p>
    <w:p w14:paraId="57CB9DD7">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2. 分类实施“高水平科研平台培育提升工程”。立足学校特色优势，加快科技创新平台前瞻性、战略性布局，对照省高质量发展考核指标，开展“一学院一平台”专项建设行动，强化文理工多学科融合、多团队协同、多技术集成。重点开展江苏省滩涂盐碱地治理与可持续利用重点实验室重组工作，完成重组方案论证、报送和现场答辩准备工作</w:t>
      </w:r>
      <w:r>
        <w:rPr>
          <w:rFonts w:hint="eastAsia" w:eastAsia="仿宋_GB2312"/>
          <w:color w:val="000000" w:themeColor="text1"/>
          <w:sz w:val="32"/>
          <w:szCs w:val="32"/>
          <w:highlight w:val="none"/>
          <w14:textFill>
            <w14:solidFill>
              <w14:schemeClr w14:val="tx1"/>
            </w14:solidFill>
          </w14:textFill>
        </w:rPr>
        <w:t>；完成4个省重点实验室2025年报工作。获批江苏省首批产业技术工程化中心——“功能食品资源挖掘与生物制造”产业技术工程化中心，圆满完成</w:t>
      </w:r>
      <w:r>
        <w:rPr>
          <w:rFonts w:eastAsia="仿宋_GB2312"/>
          <w:color w:val="000000" w:themeColor="text1"/>
          <w:sz w:val="32"/>
          <w:szCs w:val="32"/>
          <w:highlight w:val="none"/>
          <w14:textFill>
            <w14:solidFill>
              <w14:schemeClr w14:val="tx1"/>
            </w14:solidFill>
          </w14:textFill>
        </w:rPr>
        <w:t>“一</w:t>
      </w:r>
      <w:r>
        <w:rPr>
          <w:rFonts w:hint="eastAsia" w:eastAsia="仿宋_GB2312"/>
          <w:color w:val="000000" w:themeColor="text1"/>
          <w:sz w:val="32"/>
          <w:szCs w:val="32"/>
          <w:highlight w:val="none"/>
          <w14:textFill>
            <w14:solidFill>
              <w14:schemeClr w14:val="tx1"/>
            </w14:solidFill>
          </w14:textFill>
        </w:rPr>
        <w:t>理工科</w:t>
      </w:r>
      <w:r>
        <w:rPr>
          <w:rFonts w:eastAsia="仿宋_GB2312"/>
          <w:color w:val="000000" w:themeColor="text1"/>
          <w:sz w:val="32"/>
          <w:szCs w:val="32"/>
          <w:highlight w:val="none"/>
          <w14:textFill>
            <w14:solidFill>
              <w14:schemeClr w14:val="tx1"/>
            </w14:solidFill>
          </w14:textFill>
        </w:rPr>
        <w:t>学院一</w:t>
      </w:r>
      <w:r>
        <w:rPr>
          <w:rFonts w:hint="eastAsia" w:eastAsia="仿宋_GB2312"/>
          <w:color w:val="000000" w:themeColor="text1"/>
          <w:sz w:val="32"/>
          <w:szCs w:val="32"/>
          <w:highlight w:val="none"/>
          <w14:textFill>
            <w14:solidFill>
              <w14:schemeClr w14:val="tx1"/>
            </w14:solidFill>
          </w14:textFill>
        </w:rPr>
        <w:t>科技</w:t>
      </w:r>
      <w:r>
        <w:rPr>
          <w:rFonts w:eastAsia="仿宋_GB2312"/>
          <w:color w:val="000000" w:themeColor="text1"/>
          <w:sz w:val="32"/>
          <w:szCs w:val="32"/>
          <w:highlight w:val="none"/>
          <w14:textFill>
            <w14:solidFill>
              <w14:schemeClr w14:val="tx1"/>
            </w14:solidFill>
          </w14:textFill>
        </w:rPr>
        <w:t>平台”</w:t>
      </w:r>
      <w:r>
        <w:rPr>
          <w:rFonts w:hint="eastAsia" w:eastAsia="仿宋_GB2312"/>
          <w:color w:val="000000" w:themeColor="text1"/>
          <w:sz w:val="32"/>
          <w:szCs w:val="32"/>
          <w:highlight w:val="none"/>
          <w14:textFill>
            <w14:solidFill>
              <w14:schemeClr w14:val="tx1"/>
            </w14:solidFill>
          </w14:textFill>
        </w:rPr>
        <w:t>建设目标</w:t>
      </w:r>
      <w:r>
        <w:rPr>
          <w:rFonts w:eastAsia="仿宋_GB2312"/>
          <w:color w:val="000000" w:themeColor="text1"/>
          <w:sz w:val="32"/>
          <w:szCs w:val="32"/>
          <w:highlight w:val="none"/>
          <w14:textFill>
            <w14:solidFill>
              <w14:schemeClr w14:val="tx1"/>
            </w14:solidFill>
          </w14:textFill>
        </w:rPr>
        <w:t>。整合交叉学科资源，获批盐城市工程技术研究中心2个</w:t>
      </w:r>
      <w:r>
        <w:rPr>
          <w:rFonts w:hint="eastAsia" w:eastAsia="仿宋_GB2312"/>
          <w:color w:val="000000" w:themeColor="text1"/>
          <w:sz w:val="32"/>
          <w:szCs w:val="32"/>
          <w:highlight w:val="none"/>
          <w14:textFill>
            <w14:solidFill>
              <w14:schemeClr w14:val="tx1"/>
            </w14:solidFill>
          </w14:textFill>
        </w:rPr>
        <w:t>。</w:t>
      </w:r>
    </w:p>
    <w:p w14:paraId="39731FE4">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3. 重点培育高水平科研和产业服务团队。结合学科发展规划和储备资源优势，深入实施产学研高度融合的科研团队培育专项行动，对照“一学院一团队”建设标准，摸排省、市级创新团队二级学院分布情况，明确建设主导方向，分类组建重点培育，强化团队储备力量。组建校级科学研究与产业服务团队38个，征集各领域优势科技成果81项，完成2025年科技成果汇编工作。聚焦“5+2”战略性新兴产业和23条重点产业链发展需求，组建“生物工程”“环境科学与工程”“生态学”“能源动力”等4个重点、特色学科团队，着力解决盐城环保高新区等地方园区产业关键核心技术问题，助力行业（企业）破解难题。</w:t>
      </w:r>
    </w:p>
    <w:p w14:paraId="109B3F0E">
      <w:pPr>
        <w:spacing w:line="520" w:lineRule="exact"/>
        <w:ind w:firstLine="643" w:firstLineChars="200"/>
        <w:rPr>
          <w:rFonts w:eastAsia="仿宋_GB2312"/>
          <w:b/>
          <w:bCs/>
          <w:color w:val="000000" w:themeColor="text1"/>
          <w:sz w:val="32"/>
          <w:szCs w:val="32"/>
          <w:highlight w:val="none"/>
          <w14:textFill>
            <w14:solidFill>
              <w14:schemeClr w14:val="tx1"/>
            </w14:solidFill>
          </w14:textFill>
        </w:rPr>
      </w:pPr>
      <w:r>
        <w:rPr>
          <w:rFonts w:eastAsia="仿宋_GB2312"/>
          <w:b/>
          <w:bCs/>
          <w:color w:val="000000" w:themeColor="text1"/>
          <w:sz w:val="32"/>
          <w:szCs w:val="32"/>
          <w:highlight w:val="none"/>
          <w14:textFill>
            <w14:solidFill>
              <w14:schemeClr w14:val="tx1"/>
            </w14:solidFill>
          </w14:textFill>
        </w:rPr>
        <w:t>三、不断提升科研能力，大力培育高层次科研项目和成果</w:t>
      </w:r>
    </w:p>
    <w:p w14:paraId="2ECEABAB">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4. 持续实施“青年教师科研能力提升计划”。以“青年-交叉-创新”为主旋律，推进科研人才梯队建设，培育具备申报重大（重点）项目和高层次</w:t>
      </w:r>
      <w:r>
        <w:rPr>
          <w:rFonts w:hint="eastAsia" w:eastAsia="仿宋_GB2312"/>
          <w:color w:val="000000" w:themeColor="text1"/>
          <w:sz w:val="32"/>
          <w:szCs w:val="32"/>
          <w:highlight w:val="none"/>
          <w14:textFill>
            <w14:solidFill>
              <w14:schemeClr w14:val="tx1"/>
            </w14:solidFill>
          </w14:textFill>
        </w:rPr>
        <w:t>科技奖</w:t>
      </w:r>
      <w:r>
        <w:rPr>
          <w:rFonts w:eastAsia="仿宋_GB2312"/>
          <w:color w:val="000000" w:themeColor="text1"/>
          <w:sz w:val="32"/>
          <w:szCs w:val="32"/>
          <w:highlight w:val="none"/>
          <w14:textFill>
            <w14:solidFill>
              <w14:schemeClr w14:val="tx1"/>
            </w14:solidFill>
          </w14:textFill>
        </w:rPr>
        <w:t>条件的优秀中青年科研人才。重点针对申报高层次科研项目的青年教师，倒排项目打磨计划，邀请校内外专家开展“一对一”定向指导服务150余场次，组织二级学院综合开展高层次项目专题学术沙龙活动2期，为青年教师科研发展提供了多样交流互动平台。</w:t>
      </w:r>
      <w:bookmarkStart w:id="3" w:name="OLE_LINK14"/>
      <w:bookmarkStart w:id="4" w:name="OLE_LINK15"/>
      <w:r>
        <w:rPr>
          <w:rFonts w:eastAsia="仿宋_GB2312"/>
          <w:color w:val="000000" w:themeColor="text1"/>
          <w:sz w:val="32"/>
          <w:szCs w:val="32"/>
          <w:highlight w:val="none"/>
          <w14:textFill>
            <w14:solidFill>
              <w14:schemeClr w14:val="tx1"/>
            </w14:solidFill>
          </w14:textFill>
        </w:rPr>
        <w:t>5名博士获江苏省青年科技人才托举工程项目资助，获批数量创历史新高。</w:t>
      </w:r>
      <w:bookmarkEnd w:id="3"/>
      <w:bookmarkEnd w:id="4"/>
    </w:p>
    <w:p w14:paraId="499C7FB6">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5. 重点实施“高层次科研项目培育计划”。精准摸排，有效申报国家海外人才计划2人。根据各学科特点，深入挖掘科研项目申报资源，拓展项目来源和类别，分别召开2次科研工作推进会和10次科研工作例会。邀请多位校内外专家作高层次项目申报专题辅导报告30余场次，不断提升高层次科研项目申请书的质量。全年共组织申报各</w:t>
      </w:r>
      <w:r>
        <w:rPr>
          <w:rFonts w:hint="eastAsia" w:eastAsia="仿宋_GB2312"/>
          <w:color w:val="000000" w:themeColor="text1"/>
          <w:sz w:val="32"/>
          <w:szCs w:val="32"/>
          <w:highlight w:val="none"/>
          <w14:textFill>
            <w14:solidFill>
              <w14:schemeClr w14:val="tx1"/>
            </w14:solidFill>
          </w14:textFill>
        </w:rPr>
        <w:t>级</w:t>
      </w:r>
      <w:r>
        <w:rPr>
          <w:rFonts w:eastAsia="仿宋_GB2312"/>
          <w:color w:val="000000" w:themeColor="text1"/>
          <w:sz w:val="32"/>
          <w:szCs w:val="32"/>
          <w:highlight w:val="none"/>
          <w14:textFill>
            <w14:solidFill>
              <w14:schemeClr w14:val="tx1"/>
            </w14:solidFill>
          </w14:textFill>
        </w:rPr>
        <w:t>科研项目15类，其中：国家自然科学基金项目183项（含重点项目1项、科技活动专项2项）；省自然科学基金项目115项，省软科学研究项目6项；省高校自然科学研究项目19项；盐城市各类科技项目</w:t>
      </w:r>
      <w:r>
        <w:rPr>
          <w:rFonts w:hint="eastAsia" w:eastAsia="仿宋_GB2312"/>
          <w:color w:val="000000" w:themeColor="text1"/>
          <w:sz w:val="32"/>
          <w:szCs w:val="32"/>
          <w:highlight w:val="none"/>
          <w14:textFill>
            <w14:solidFill>
              <w14:schemeClr w14:val="tx1"/>
            </w14:solidFill>
          </w14:textFill>
        </w:rPr>
        <w:t>72</w:t>
      </w:r>
      <w:r>
        <w:rPr>
          <w:rFonts w:eastAsia="仿宋_GB2312"/>
          <w:color w:val="000000" w:themeColor="text1"/>
          <w:sz w:val="32"/>
          <w:szCs w:val="32"/>
          <w:highlight w:val="none"/>
          <w14:textFill>
            <w14:solidFill>
              <w14:schemeClr w14:val="tx1"/>
            </w14:solidFill>
          </w14:textFill>
        </w:rPr>
        <w:t>项。已获批国家自然科学基金项目10项、省部级项目11项、省高校自然科学研究项目12项（重大项目4项）、教育部中国高校产学研创新基金项目1项</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江苏省科技智库计划项目3项</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“科普江苏”计划项目科普资源开发类1项、盐城市基础研究等</w:t>
      </w:r>
      <w:r>
        <w:rPr>
          <w:rFonts w:hint="eastAsia" w:eastAsia="仿宋_GB2312"/>
          <w:color w:val="000000" w:themeColor="text1"/>
          <w:sz w:val="32"/>
          <w:szCs w:val="32"/>
          <w:highlight w:val="none"/>
          <w14:textFill>
            <w14:solidFill>
              <w14:schemeClr w14:val="tx1"/>
            </w14:solidFill>
          </w14:textFill>
        </w:rPr>
        <w:t>市级</w:t>
      </w:r>
      <w:r>
        <w:rPr>
          <w:rFonts w:eastAsia="仿宋_GB2312"/>
          <w:color w:val="000000" w:themeColor="text1"/>
          <w:sz w:val="32"/>
          <w:szCs w:val="32"/>
          <w:highlight w:val="none"/>
          <w14:textFill>
            <w14:solidFill>
              <w14:schemeClr w14:val="tx1"/>
            </w14:solidFill>
          </w14:textFill>
        </w:rPr>
        <w:t>项目</w:t>
      </w:r>
      <w:r>
        <w:rPr>
          <w:rFonts w:hint="eastAsia" w:eastAsia="仿宋_GB2312"/>
          <w:color w:val="000000" w:themeColor="text1"/>
          <w:sz w:val="32"/>
          <w:szCs w:val="32"/>
          <w:highlight w:val="none"/>
          <w14:textFill>
            <w14:solidFill>
              <w14:schemeClr w14:val="tx1"/>
            </w14:solidFill>
          </w14:textFill>
        </w:rPr>
        <w:t>51</w:t>
      </w:r>
      <w:r>
        <w:rPr>
          <w:rFonts w:eastAsia="仿宋_GB2312"/>
          <w:color w:val="000000" w:themeColor="text1"/>
          <w:sz w:val="32"/>
          <w:szCs w:val="32"/>
          <w:highlight w:val="none"/>
          <w14:textFill>
            <w14:solidFill>
              <w14:schemeClr w14:val="tx1"/>
            </w14:solidFill>
          </w14:textFill>
        </w:rPr>
        <w:t>项。完成10项资助期满国家自然科学基金项目结题，完成2024年立项的8项省基础研究项目绩效评价和1项省软科学研究项目中期检查。自科类纵向科研经费到账</w:t>
      </w:r>
      <w:r>
        <w:rPr>
          <w:rFonts w:hint="eastAsia" w:eastAsia="仿宋_GB2312"/>
          <w:color w:val="000000" w:themeColor="text1"/>
          <w:sz w:val="32"/>
          <w:szCs w:val="32"/>
          <w:highlight w:val="none"/>
          <w14:textFill>
            <w14:solidFill>
              <w14:schemeClr w14:val="tx1"/>
            </w14:solidFill>
          </w14:textFill>
        </w:rPr>
        <w:t>858</w:t>
      </w:r>
      <w:r>
        <w:rPr>
          <w:rFonts w:eastAsia="仿宋_GB2312"/>
          <w:color w:val="000000" w:themeColor="text1"/>
          <w:sz w:val="32"/>
          <w:szCs w:val="32"/>
          <w:highlight w:val="none"/>
          <w14:textFill>
            <w14:solidFill>
              <w14:schemeClr w14:val="tx1"/>
            </w14:solidFill>
          </w14:textFill>
        </w:rPr>
        <w:t>.54万元。</w:t>
      </w:r>
    </w:p>
    <w:p w14:paraId="13DC32A0">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6. 持续实施“高质量科研成果培育计划”。鼓励支持教师产出高质量、标志性科研成果，根据《盐城师范学院高质量科研成果资助办法》，完成2024年高质量科研成果审核和资助等工作。以构建科学合理、激励有效、导向明确的科研评价与奖励体系为导向，结合第六聘期岗位聘任与考核工作实际，在系统梳理、深入调研和广泛征求意见的基础上，</w:t>
      </w:r>
      <w:r>
        <w:rPr>
          <w:rFonts w:hint="eastAsia" w:eastAsia="仿宋_GB2312"/>
          <w:color w:val="000000" w:themeColor="text1"/>
          <w:sz w:val="32"/>
          <w:szCs w:val="32"/>
          <w:highlight w:val="none"/>
          <w14:textFill>
            <w14:solidFill>
              <w14:schemeClr w14:val="tx1"/>
            </w14:solidFill>
          </w14:textFill>
        </w:rPr>
        <w:t>制定出台</w:t>
      </w:r>
      <w:r>
        <w:rPr>
          <w:rFonts w:eastAsia="仿宋_GB2312"/>
          <w:color w:val="000000" w:themeColor="text1"/>
          <w:sz w:val="32"/>
          <w:szCs w:val="32"/>
          <w:highlight w:val="none"/>
          <w14:textFill>
            <w14:solidFill>
              <w14:schemeClr w14:val="tx1"/>
            </w14:solidFill>
          </w14:textFill>
        </w:rPr>
        <w:t>《盐城师范学院科研业绩积分与奖励办法》。加强创新成果集成与运用，重点打造具备冲击省级以上科技奖项能力的科技成果。</w:t>
      </w:r>
      <w:r>
        <w:rPr>
          <w:rFonts w:hint="eastAsia" w:eastAsia="仿宋_GB2312"/>
          <w:color w:val="000000" w:themeColor="text1"/>
          <w:sz w:val="32"/>
          <w:szCs w:val="32"/>
          <w:highlight w:val="none"/>
          <w14:textFill>
            <w14:solidFill>
              <w14:schemeClr w14:val="tx1"/>
            </w14:solidFill>
          </w14:textFill>
        </w:rPr>
        <w:t>1项合作成果</w:t>
      </w:r>
      <w:r>
        <w:rPr>
          <w:rFonts w:eastAsia="仿宋_GB2312"/>
          <w:color w:val="000000" w:themeColor="text1"/>
          <w:sz w:val="32"/>
          <w:szCs w:val="32"/>
          <w:highlight w:val="none"/>
          <w14:textFill>
            <w14:solidFill>
              <w14:schemeClr w14:val="tx1"/>
            </w14:solidFill>
          </w14:textFill>
        </w:rPr>
        <w:t>获江苏省</w:t>
      </w:r>
      <w:r>
        <w:rPr>
          <w:rFonts w:hint="eastAsia" w:eastAsia="仿宋_GB2312"/>
          <w:color w:val="000000" w:themeColor="text1"/>
          <w:sz w:val="32"/>
          <w:szCs w:val="32"/>
          <w:highlight w:val="none"/>
          <w14:textFill>
            <w14:solidFill>
              <w14:schemeClr w14:val="tx1"/>
            </w14:solidFill>
          </w14:textFill>
        </w:rPr>
        <w:t>科技进步</w:t>
      </w:r>
      <w:r>
        <w:rPr>
          <w:rFonts w:eastAsia="仿宋_GB2312"/>
          <w:color w:val="000000" w:themeColor="text1"/>
          <w:sz w:val="32"/>
          <w:szCs w:val="32"/>
          <w:highlight w:val="none"/>
          <w14:textFill>
            <w14:solidFill>
              <w14:schemeClr w14:val="tx1"/>
            </w14:solidFill>
          </w14:textFill>
        </w:rPr>
        <w:t>奖一等奖，实现获得科技类奖项级别历史性突破；牵头获得中国发明学会成果奖二等奖1项</w:t>
      </w:r>
      <w:r>
        <w:rPr>
          <w:rFonts w:hint="eastAsia" w:eastAsia="仿宋_GB2312"/>
          <w:color w:val="000000" w:themeColor="text1"/>
          <w:sz w:val="32"/>
          <w:szCs w:val="32"/>
          <w:highlight w:val="none"/>
          <w14:textFill>
            <w14:solidFill>
              <w14:schemeClr w14:val="tx1"/>
            </w14:solidFill>
          </w14:textFill>
        </w:rPr>
        <w:t>、中国商业联合会科技奖三等奖2项、</w:t>
      </w:r>
      <w:r>
        <w:rPr>
          <w:rFonts w:eastAsia="仿宋_GB2312"/>
          <w:color w:val="000000" w:themeColor="text1"/>
          <w:sz w:val="32"/>
          <w:szCs w:val="32"/>
          <w:highlight w:val="none"/>
          <w14:textFill>
            <w14:solidFill>
              <w14:schemeClr w14:val="tx1"/>
            </w14:solidFill>
          </w14:textFill>
        </w:rPr>
        <w:t>江苏省科技智库精品成果二等奖1项</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1名青年博士首次以第一作者、第一单位在PNAS上发表绿色低碳领域科研成果。</w:t>
      </w:r>
    </w:p>
    <w:p w14:paraId="018EDEDF">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7. 稳步完善知识产权管理体系。积极开展职务科技成果赋权改革工作，出台《盐城师范学院职务科技成果资产单列管理办法（试行）》《盐城师范学院职务科技成果尽职免责管理办法（试行）》《盐城师范学院科技成果“先使用后付费”实施力法（试行）》《盐城师范学院科技成果赋权改革实施力法（试行）》</w:t>
      </w:r>
      <w:r>
        <w:rPr>
          <w:rFonts w:hint="eastAsia" w:eastAsia="仿宋_GB2312"/>
          <w:color w:val="000000" w:themeColor="text1"/>
          <w:sz w:val="32"/>
          <w:szCs w:val="32"/>
          <w:highlight w:val="none"/>
          <w14:textFill>
            <w14:solidFill>
              <w14:schemeClr w14:val="tx1"/>
            </w14:solidFill>
          </w14:textFill>
        </w:rPr>
        <w:t>等文件</w:t>
      </w:r>
      <w:r>
        <w:rPr>
          <w:rFonts w:eastAsia="仿宋_GB2312"/>
          <w:color w:val="000000" w:themeColor="text1"/>
          <w:sz w:val="32"/>
          <w:szCs w:val="32"/>
          <w:highlight w:val="none"/>
          <w14:textFill>
            <w14:solidFill>
              <w14:schemeClr w14:val="tx1"/>
            </w14:solidFill>
          </w14:textFill>
        </w:rPr>
        <w:t>，不断加强知识产权公共信息服务网点建设，组织学校相关二级学院师生参加第九届江苏省大学生知识产权知识竞赛，我校以第一名复赛成绩进入决赛，并在决赛中获得团体一等奖。新申请专利110件，授权专利42件，授权计算机软件著作权42项，省知识产权信息公共服务网点绩效评价获</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良好</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等次，首次获评江苏省高等学校“知识产权工作先进集体”。</w:t>
      </w:r>
    </w:p>
    <w:p w14:paraId="6108D412">
      <w:pPr>
        <w:spacing w:line="520" w:lineRule="exact"/>
        <w:ind w:firstLine="643" w:firstLineChars="200"/>
        <w:rPr>
          <w:rFonts w:eastAsia="仿宋_GB2312"/>
          <w:b/>
          <w:bCs/>
          <w:color w:val="000000" w:themeColor="text1"/>
          <w:sz w:val="32"/>
          <w:szCs w:val="32"/>
          <w:highlight w:val="none"/>
          <w14:textFill>
            <w14:solidFill>
              <w14:schemeClr w14:val="tx1"/>
            </w14:solidFill>
          </w14:textFill>
        </w:rPr>
      </w:pPr>
      <w:r>
        <w:rPr>
          <w:rFonts w:eastAsia="仿宋_GB2312"/>
          <w:b/>
          <w:bCs/>
          <w:color w:val="000000" w:themeColor="text1"/>
          <w:sz w:val="32"/>
          <w:szCs w:val="32"/>
          <w:highlight w:val="none"/>
          <w14:textFill>
            <w14:solidFill>
              <w14:schemeClr w14:val="tx1"/>
            </w14:solidFill>
          </w14:textFill>
        </w:rPr>
        <w:t>四、倾力塑造品牌特色，不断加强产业与技术对接服务</w:t>
      </w:r>
    </w:p>
    <w:p w14:paraId="2ABCA62F">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8.</w:t>
      </w:r>
      <w:r>
        <w:rPr>
          <w:rFonts w:hint="eastAsia" w:eastAsia="仿宋_GB2312"/>
          <w:color w:val="000000" w:themeColor="text1"/>
          <w:sz w:val="32"/>
          <w:szCs w:val="32"/>
          <w:highlight w:val="none"/>
          <w14:textFill>
            <w14:solidFill>
              <w14:schemeClr w14:val="tx1"/>
            </w14:solidFill>
          </w14:textFill>
        </w:rPr>
        <w:t xml:space="preserve"> </w:t>
      </w:r>
      <w:r>
        <w:rPr>
          <w:rFonts w:eastAsia="仿宋_GB2312"/>
          <w:color w:val="000000" w:themeColor="text1"/>
          <w:sz w:val="32"/>
          <w:szCs w:val="32"/>
          <w:highlight w:val="none"/>
          <w14:textFill>
            <w14:solidFill>
              <w14:schemeClr w14:val="tx1"/>
            </w14:solidFill>
          </w14:textFill>
        </w:rPr>
        <w:t>大力开展“双高协同”创新发展试点工作。联合盐城环保高新区，积极申报并成功入选首批省级“双高协同”创新发展试点单位，联合市科技局、环保高新区与国家技术转移东部中心，成功举办“中级技术经理人培训班（双高协同专场），校地合作迈上新台阶。与盐城环保高新区建立“常态对接、每月推进、双月调度”的工作机制，已召开2次联席会议、12次对接推进会。制定出台《盐城师范学院加强“双高协同”创新发展试点建设 助推学校综合改革取得实效三年行动方案（2025-2027年）》，系统谋划9大重点任务与8大支持政策，构建起“牵头部门主抓、相关单位协同、学院具体落实”的责任闭环与执行机制，确保工作有章可循、责任到人。</w:t>
      </w:r>
    </w:p>
    <w:p w14:paraId="224030BE">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9.</w:t>
      </w:r>
      <w:r>
        <w:rPr>
          <w:rFonts w:hint="eastAsia" w:eastAsia="仿宋_GB2312"/>
          <w:color w:val="000000" w:themeColor="text1"/>
          <w:sz w:val="32"/>
          <w:szCs w:val="32"/>
          <w:highlight w:val="none"/>
          <w14:textFill>
            <w14:solidFill>
              <w14:schemeClr w14:val="tx1"/>
            </w14:solidFill>
          </w14:textFill>
        </w:rPr>
        <w:t xml:space="preserve"> </w:t>
      </w:r>
      <w:r>
        <w:rPr>
          <w:rFonts w:eastAsia="仿宋_GB2312"/>
          <w:color w:val="000000" w:themeColor="text1"/>
          <w:sz w:val="32"/>
          <w:szCs w:val="32"/>
          <w:highlight w:val="none"/>
          <w14:textFill>
            <w14:solidFill>
              <w14:schemeClr w14:val="tx1"/>
            </w14:solidFill>
          </w14:textFill>
        </w:rPr>
        <w:t>共建概念验证中心，夯实创新基础。将平台作为协同创新的物理载体和核心引擎，与环保高新区、国家技术转移东部中心共建“盐城绿色低碳概念验证中心”。着力打通从“实验室”到“生产线”的最后一公里，线上线下一体的“双高协同成果超市”已上线20余项科技成果，成功举办了“长三角绿色低碳科技成果集市”等2场路演活动。推动“双师型”师资建设，</w:t>
      </w:r>
      <w:r>
        <w:rPr>
          <w:rFonts w:hint="eastAsia" w:eastAsia="仿宋_GB2312"/>
          <w:color w:val="000000" w:themeColor="text1"/>
          <w:sz w:val="32"/>
          <w:szCs w:val="32"/>
          <w:highlight w:val="none"/>
          <w14:textFill>
            <w14:solidFill>
              <w14:schemeClr w14:val="tx1"/>
            </w14:solidFill>
          </w14:textFill>
        </w:rPr>
        <w:t>18名教师获得技术经理人资质，</w:t>
      </w:r>
      <w:r>
        <w:rPr>
          <w:rFonts w:eastAsia="仿宋_GB2312"/>
          <w:color w:val="000000" w:themeColor="text1"/>
          <w:sz w:val="32"/>
          <w:szCs w:val="32"/>
          <w:highlight w:val="none"/>
          <w14:textFill>
            <w14:solidFill>
              <w14:schemeClr w14:val="tx1"/>
            </w14:solidFill>
          </w14:textFill>
        </w:rPr>
        <w:t>选聘国家级人才1名，选派2名教师全脱产进驻企业。积极组织理工科学院对接盐城高新区、盐南高新区、建湖高新区、东台高新区、盐城经济技术开发区等高新区和开发区，努力构建全域覆盖、多点发力的协同创新格局。</w:t>
      </w:r>
    </w:p>
    <w:p w14:paraId="139AB06F">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10. 规范完善横向科研项目管理流程。</w:t>
      </w:r>
      <w:r>
        <w:rPr>
          <w:rFonts w:hint="eastAsia" w:eastAsia="仿宋_GB2312"/>
          <w:color w:val="000000" w:themeColor="text1"/>
          <w:sz w:val="32"/>
          <w:szCs w:val="32"/>
          <w:highlight w:val="none"/>
          <w14:textFill>
            <w14:solidFill>
              <w14:schemeClr w14:val="tx1"/>
            </w14:solidFill>
          </w14:textFill>
        </w:rPr>
        <w:t>修订出台</w:t>
      </w:r>
      <w:r>
        <w:rPr>
          <w:rFonts w:eastAsia="仿宋_GB2312"/>
          <w:color w:val="000000" w:themeColor="text1"/>
          <w:sz w:val="32"/>
          <w:szCs w:val="32"/>
          <w:highlight w:val="none"/>
          <w14:textFill>
            <w14:solidFill>
              <w14:schemeClr w14:val="tx1"/>
            </w14:solidFill>
          </w14:textFill>
        </w:rPr>
        <w:t>《盐城师范学院横向科研项目管理办法》</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进一步规范横向科研项目立项、结项等过程性材料管理，完善科研管理系统功能，明确横向科研项目全流程管理程序。新增结项横向科研项目101项，立项横向科研项目363项，到账经费超1.2亿元。</w:t>
      </w:r>
    </w:p>
    <w:p w14:paraId="306F49C6">
      <w:pPr>
        <w:spacing w:line="520" w:lineRule="exact"/>
        <w:ind w:firstLine="643" w:firstLineChars="200"/>
        <w:rPr>
          <w:rFonts w:eastAsia="仿宋_GB2312"/>
          <w:b/>
          <w:bCs/>
          <w:color w:val="000000" w:themeColor="text1"/>
          <w:sz w:val="32"/>
          <w:szCs w:val="32"/>
          <w:highlight w:val="none"/>
          <w14:textFill>
            <w14:solidFill>
              <w14:schemeClr w14:val="tx1"/>
            </w14:solidFill>
          </w14:textFill>
        </w:rPr>
      </w:pPr>
      <w:r>
        <w:rPr>
          <w:rFonts w:eastAsia="仿宋_GB2312"/>
          <w:b/>
          <w:bCs/>
          <w:color w:val="000000" w:themeColor="text1"/>
          <w:sz w:val="32"/>
          <w:szCs w:val="32"/>
          <w:highlight w:val="none"/>
          <w14:textFill>
            <w14:solidFill>
              <w14:schemeClr w14:val="tx1"/>
            </w14:solidFill>
          </w14:textFill>
        </w:rPr>
        <w:t>五、积极营造良好氛围，逐步形成有组织创新生态体系</w:t>
      </w:r>
    </w:p>
    <w:p w14:paraId="386DF44A">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 xml:space="preserve">11. </w:t>
      </w:r>
      <w:r>
        <w:rPr>
          <w:rFonts w:hint="eastAsia" w:eastAsia="仿宋_GB2312"/>
          <w:color w:val="000000" w:themeColor="text1"/>
          <w:sz w:val="32"/>
          <w:szCs w:val="32"/>
          <w:highlight w:val="none"/>
          <w14:textFill>
            <w14:solidFill>
              <w14:schemeClr w14:val="tx1"/>
            </w14:solidFill>
          </w14:textFill>
        </w:rPr>
        <w:t>系统</w:t>
      </w:r>
      <w:r>
        <w:rPr>
          <w:rFonts w:eastAsia="仿宋_GB2312"/>
          <w:color w:val="000000" w:themeColor="text1"/>
          <w:sz w:val="32"/>
          <w:szCs w:val="32"/>
          <w:highlight w:val="none"/>
          <w14:textFill>
            <w14:solidFill>
              <w14:schemeClr w14:val="tx1"/>
            </w14:solidFill>
          </w14:textFill>
        </w:rPr>
        <w:t>谋划“十五五”科学研究与技术创新专项规划</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紧密围绕学校</w:t>
      </w:r>
      <w:r>
        <w:rPr>
          <w:rFonts w:hint="eastAsia" w:eastAsia="仿宋_GB2312"/>
          <w:color w:val="000000" w:themeColor="text1"/>
          <w:sz w:val="32"/>
          <w:szCs w:val="32"/>
          <w:highlight w:val="none"/>
          <w14:textFill>
            <w14:solidFill>
              <w14:schemeClr w14:val="tx1"/>
            </w14:solidFill>
          </w14:textFill>
        </w:rPr>
        <w:t>一流应用型本科建设、</w:t>
      </w:r>
      <w:r>
        <w:rPr>
          <w:rFonts w:eastAsia="仿宋_GB2312"/>
          <w:color w:val="000000" w:themeColor="text1"/>
          <w:sz w:val="32"/>
          <w:szCs w:val="32"/>
          <w:highlight w:val="none"/>
          <w14:textFill>
            <w14:solidFill>
              <w14:schemeClr w14:val="tx1"/>
            </w14:solidFill>
          </w14:textFill>
        </w:rPr>
        <w:t>“升大申博”战略目标和“十五五”规划蓝图，在扎实推进年度重点工作的同时，全力组织编制《“十五五”科学研究与技术创新专项规划》。系统总结“十四五”期间</w:t>
      </w:r>
      <w:r>
        <w:rPr>
          <w:rFonts w:hint="eastAsia" w:eastAsia="仿宋_GB2312"/>
          <w:color w:val="000000" w:themeColor="text1"/>
          <w:sz w:val="32"/>
          <w:szCs w:val="32"/>
          <w:highlight w:val="none"/>
          <w14:textFill>
            <w14:solidFill>
              <w14:schemeClr w14:val="tx1"/>
            </w14:solidFill>
          </w14:textFill>
        </w:rPr>
        <w:t>取得的</w:t>
      </w:r>
      <w:r>
        <w:rPr>
          <w:rFonts w:eastAsia="仿宋_GB2312"/>
          <w:color w:val="000000" w:themeColor="text1"/>
          <w:sz w:val="32"/>
          <w:szCs w:val="32"/>
          <w:highlight w:val="none"/>
          <w14:textFill>
            <w14:solidFill>
              <w14:schemeClr w14:val="tx1"/>
            </w14:solidFill>
          </w14:textFill>
        </w:rPr>
        <w:t>显著成效，深入剖析国家级平台与奖项申报中存在的挑战与原因。规划坚持以习近平新时代中国特色社会主义思想为指导，</w:t>
      </w:r>
      <w:r>
        <w:rPr>
          <w:rFonts w:eastAsia="仿宋_GB2312"/>
          <w:color w:val="000000"/>
          <w:sz w:val="32"/>
          <w:szCs w:val="32"/>
          <w:highlight w:val="none"/>
        </w:rPr>
        <w:t>全面落实学校“一体两翼三聚焦四大体系五大任务”的科研发展战略</w:t>
      </w:r>
      <w:r>
        <w:rPr>
          <w:rFonts w:eastAsia="仿宋_GB2312"/>
          <w:color w:val="000000" w:themeColor="text1"/>
          <w:sz w:val="32"/>
          <w:szCs w:val="32"/>
          <w:highlight w:val="none"/>
          <w14:textFill>
            <w14:solidFill>
              <w14:schemeClr w14:val="tx1"/>
            </w14:solidFill>
          </w14:textFill>
        </w:rPr>
        <w:t>。通过广泛征求各学院、部门意见，组织多轮研讨与论证，确保规划目标科学、路径清晰、举措可行，为未来五年学校科研创新能力提升与社会服务贡献提供战略指引和行动框架。</w:t>
      </w:r>
    </w:p>
    <w:p w14:paraId="6D41A009">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12. 全面开展有组织、高贡献科研活动。紧扣省高质量发展综合考核，根据学校党政工作要点和年度重点目标任务，系统谋划、大力实施有组织科研。加强科研创新系统性布局，分解理工科二级学院、科技平台</w:t>
      </w:r>
      <w:r>
        <w:rPr>
          <w:rFonts w:hint="eastAsia" w:eastAsia="仿宋_GB2312"/>
          <w:color w:val="000000" w:themeColor="text1"/>
          <w:sz w:val="32"/>
          <w:szCs w:val="32"/>
          <w:highlight w:val="none"/>
          <w14:textFill>
            <w14:solidFill>
              <w14:schemeClr w14:val="tx1"/>
            </w14:solidFill>
          </w14:textFill>
        </w:rPr>
        <w:t>的</w:t>
      </w:r>
      <w:r>
        <w:rPr>
          <w:rFonts w:eastAsia="仿宋_GB2312"/>
          <w:color w:val="000000" w:themeColor="text1"/>
          <w:sz w:val="32"/>
          <w:szCs w:val="32"/>
          <w:highlight w:val="none"/>
          <w14:textFill>
            <w14:solidFill>
              <w14:schemeClr w14:val="tx1"/>
            </w14:solidFill>
          </w14:textFill>
        </w:rPr>
        <w:t>科研工作任务指标，及时跟踪反馈落实情况。探索“基础研究-产业化应用”全链条贯通式新型科研组织模式，进一步增强科研和社会服务效能。围绕“有组织高贡献科研”的核心目标，扎实推进“科研质量提升年活动”。</w:t>
      </w:r>
      <w:r>
        <w:rPr>
          <w:rFonts w:hint="eastAsia" w:eastAsia="仿宋_GB2312"/>
          <w:color w:val="000000" w:themeColor="text1"/>
          <w:sz w:val="32"/>
          <w:szCs w:val="32"/>
          <w:highlight w:val="none"/>
          <w14:textFill>
            <w14:solidFill>
              <w14:schemeClr w14:val="tx1"/>
            </w14:solidFill>
          </w14:textFill>
        </w:rPr>
        <w:t>系统</w:t>
      </w:r>
      <w:r>
        <w:rPr>
          <w:rFonts w:eastAsia="仿宋_GB2312"/>
          <w:color w:val="000000" w:themeColor="text1"/>
          <w:sz w:val="32"/>
          <w:szCs w:val="32"/>
          <w:highlight w:val="none"/>
          <w14:textFill>
            <w14:solidFill>
              <w14:schemeClr w14:val="tx1"/>
            </w14:solidFill>
          </w14:textFill>
        </w:rPr>
        <w:t>开展理论引航、潜心守信、强基提质、创新融合、AI赋能等5个专题活动。全面围绕技术攻关、平台打造、成果培育、协同创新，推动学校科研创新与社会服务工作再上新高度。各二级学院、部门共组织学习宣传活动40余场，参与师生2000余人次。</w:t>
      </w:r>
    </w:p>
    <w:p w14:paraId="09A55B5B">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13. 努力营造科学研究和学术创新浓厚氛围。承办第四期“双碳”目标下能源转型与风能、太阳能专业技术转移转化能力提升高级研修班，邀请中国工程院院士谭天伟教授作《可再生能源驱动的绿色生物制造》学术报告；邀请中国科学院院士魏辅文教授作题为《科学研究：透过现象探本质》的主题报告</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邀请中国科学院院</w:t>
      </w:r>
      <w:bookmarkStart w:id="5" w:name="_GoBack"/>
      <w:bookmarkEnd w:id="5"/>
      <w:r>
        <w:rPr>
          <w:rFonts w:eastAsia="仿宋_GB2312"/>
          <w:color w:val="000000" w:themeColor="text1"/>
          <w:sz w:val="32"/>
          <w:szCs w:val="32"/>
          <w:highlight w:val="none"/>
          <w14:textFill>
            <w14:solidFill>
              <w14:schemeClr w14:val="tx1"/>
            </w14:solidFill>
          </w14:textFill>
        </w:rPr>
        <w:t>士</w:t>
      </w:r>
      <w:r>
        <w:rPr>
          <w:rFonts w:hint="eastAsia" w:eastAsia="仿宋_GB2312"/>
          <w:color w:val="000000" w:themeColor="text1"/>
          <w:sz w:val="32"/>
          <w:szCs w:val="32"/>
          <w:highlight w:val="none"/>
          <w14:textFill>
            <w14:solidFill>
              <w14:schemeClr w14:val="tx1"/>
            </w14:solidFill>
          </w14:textFill>
        </w:rPr>
        <w:t>邹志刚</w:t>
      </w:r>
      <w:r>
        <w:rPr>
          <w:rFonts w:eastAsia="仿宋_GB2312"/>
          <w:color w:val="000000" w:themeColor="text1"/>
          <w:sz w:val="32"/>
          <w:szCs w:val="32"/>
          <w:highlight w:val="none"/>
          <w14:textFill>
            <w14:solidFill>
              <w14:schemeClr w14:val="tx1"/>
            </w14:solidFill>
          </w14:textFill>
        </w:rPr>
        <w:t>为我校师生作题为《未来已来—氢能时代的科技挑战与对策》的学术报告。聚焦自动化</w:t>
      </w:r>
      <w:r>
        <w:rPr>
          <w:rFonts w:hint="eastAsia" w:eastAsia="仿宋_GB2312"/>
          <w:color w:val="000000" w:themeColor="text1"/>
          <w:sz w:val="32"/>
          <w:szCs w:val="32"/>
          <w:highlight w:val="none"/>
          <w14:textFill>
            <w14:solidFill>
              <w14:schemeClr w14:val="tx1"/>
            </w14:solidFill>
          </w14:textFill>
        </w:rPr>
        <w:t>和概率统计</w:t>
      </w:r>
      <w:r>
        <w:rPr>
          <w:rFonts w:eastAsia="仿宋_GB2312"/>
          <w:color w:val="000000" w:themeColor="text1"/>
          <w:sz w:val="32"/>
          <w:szCs w:val="32"/>
          <w:highlight w:val="none"/>
          <w14:textFill>
            <w14:solidFill>
              <w14:schemeClr w14:val="tx1"/>
            </w14:solidFill>
          </w14:textFill>
        </w:rPr>
        <w:t>领域的前沿动态与热点问题，承办2025年江苏省自动化学术年会</w:t>
      </w:r>
      <w:r>
        <w:rPr>
          <w:rFonts w:hint="eastAsia" w:eastAsia="仿宋_GB2312"/>
          <w:color w:val="000000" w:themeColor="text1"/>
          <w:sz w:val="32"/>
          <w:szCs w:val="32"/>
          <w:highlight w:val="none"/>
          <w14:textFill>
            <w14:solidFill>
              <w14:schemeClr w14:val="tx1"/>
            </w14:solidFill>
          </w14:textFill>
        </w:rPr>
        <w:t>和江苏省第十七次概率统计学术年会</w:t>
      </w:r>
      <w:r>
        <w:rPr>
          <w:rFonts w:eastAsia="仿宋_GB2312"/>
          <w:color w:val="000000" w:themeColor="text1"/>
          <w:sz w:val="32"/>
          <w:szCs w:val="32"/>
          <w:highlight w:val="none"/>
          <w14:textFill>
            <w14:solidFill>
              <w14:schemeClr w14:val="tx1"/>
            </w14:solidFill>
          </w14:textFill>
        </w:rPr>
        <w:t>；聚焦沿海地区乡村振兴与农业新质生产力发展的关键问题，承办中国地理学会农业地理与乡村发展专业委员会会议；组织理工科二级学院组织开展“全国科普月”等系列活动10余场，覆盖青少年、社区居民等超万人次。</w:t>
      </w:r>
    </w:p>
    <w:p w14:paraId="27AE5CB2">
      <w:pPr>
        <w:spacing w:line="520" w:lineRule="exact"/>
        <w:ind w:firstLine="643" w:firstLineChars="200"/>
        <w:rPr>
          <w:rFonts w:eastAsia="仿宋_GB2312"/>
          <w:b/>
          <w:bCs/>
          <w:color w:val="000000" w:themeColor="text1"/>
          <w:sz w:val="32"/>
          <w:szCs w:val="32"/>
          <w:highlight w:val="none"/>
          <w14:textFill>
            <w14:solidFill>
              <w14:schemeClr w14:val="tx1"/>
            </w14:solidFill>
          </w14:textFill>
        </w:rPr>
      </w:pPr>
      <w:r>
        <w:rPr>
          <w:rFonts w:eastAsia="仿宋_GB2312"/>
          <w:b/>
          <w:bCs/>
          <w:color w:val="000000" w:themeColor="text1"/>
          <w:sz w:val="32"/>
          <w:szCs w:val="32"/>
          <w:highlight w:val="none"/>
          <w14:textFill>
            <w14:solidFill>
              <w14:schemeClr w14:val="tx1"/>
            </w14:solidFill>
          </w14:textFill>
        </w:rPr>
        <w:t>六、稳步推进科技成果转化，增强大学科技园发展内生动力</w:t>
      </w:r>
    </w:p>
    <w:p w14:paraId="6726D9B3">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14. 稳步推进科技成果转化与产学研合作。多措并举推进科技成果转化工作，提高成果转化质量，拓宽科技成果转化渠道。转化科技成果30项，到账收益近150万元，“盐师麦2号”植物新品种成功转化运用。进一步规范技术合同认定登记，累计登记技术合同214项，合同成交额超1亿元，其中百万元以上合同31项，机构服务效能显著增强。同时，积极开展科技项目申报与结项工作，2025年全校33名教师被遴选为省科技副总，新立项省产学研合作项目41项。</w:t>
      </w:r>
    </w:p>
    <w:p w14:paraId="587A9B57">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15. 强化大学科技园管理与企业服务。</w:t>
      </w:r>
      <w:r>
        <w:rPr>
          <w:rFonts w:hint="eastAsia" w:eastAsia="仿宋_GB2312"/>
          <w:color w:val="000000" w:themeColor="text1"/>
          <w:sz w:val="32"/>
          <w:szCs w:val="32"/>
          <w:highlight w:val="none"/>
          <w14:textFill>
            <w14:solidFill>
              <w14:schemeClr w14:val="tx1"/>
            </w14:solidFill>
          </w14:textFill>
        </w:rPr>
        <w:t>通过规范企业入驻与毕业流程、宣传考核办法并突出服务学校的指标，有效增强了企业的“反哺”意识，推动了“大学科技园-在孵企业-二级学院”的协同发展与资源整合。顺利</w:t>
      </w:r>
      <w:r>
        <w:rPr>
          <w:rFonts w:eastAsia="仿宋_GB2312"/>
          <w:color w:val="000000" w:themeColor="text1"/>
          <w:sz w:val="32"/>
          <w:szCs w:val="32"/>
          <w:highlight w:val="none"/>
          <w14:textFill>
            <w14:solidFill>
              <w14:schemeClr w14:val="tx1"/>
            </w14:solidFill>
          </w14:textFill>
        </w:rPr>
        <w:t>完成2024年度</w:t>
      </w:r>
      <w:r>
        <w:rPr>
          <w:rFonts w:hint="eastAsia" w:eastAsia="仿宋_GB2312"/>
          <w:color w:val="000000" w:themeColor="text1"/>
          <w:sz w:val="32"/>
          <w:szCs w:val="32"/>
          <w:highlight w:val="none"/>
          <w14:textFill>
            <w14:solidFill>
              <w14:schemeClr w14:val="tx1"/>
            </w14:solidFill>
          </w14:textFill>
        </w:rPr>
        <w:t>大学科技园</w:t>
      </w:r>
      <w:r>
        <w:rPr>
          <w:rFonts w:eastAsia="仿宋_GB2312"/>
          <w:color w:val="000000" w:themeColor="text1"/>
          <w:sz w:val="32"/>
          <w:szCs w:val="32"/>
          <w:highlight w:val="none"/>
          <w14:textFill>
            <w14:solidFill>
              <w14:schemeClr w14:val="tx1"/>
            </w14:solidFill>
          </w14:textFill>
        </w:rPr>
        <w:t>省、市绩效评价及年报上报工作。园区对标省级管理要求，持续深化企业服务，组织举办科技型中小企业申报专题辅导讲座，帮助企业精准把握政策要点、提升申报质量；同时设立常态化服务窗口，提供现场咨询与互动答疑，对重点企业开展“一对一”跟踪辅导</w:t>
      </w:r>
      <w:r>
        <w:rPr>
          <w:rFonts w:hint="eastAsia"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yellow"/>
          <w14:textFill>
            <w14:solidFill>
              <w14:schemeClr w14:val="tx1"/>
            </w14:solidFill>
          </w14:textFill>
        </w:rPr>
        <w:t>园区</w:t>
      </w:r>
      <w:r>
        <w:rPr>
          <w:rFonts w:eastAsia="仿宋_GB2312"/>
          <w:color w:val="000000" w:themeColor="text1"/>
          <w:sz w:val="32"/>
          <w:szCs w:val="32"/>
          <w:highlight w:val="yellow"/>
          <w14:textFill>
            <w14:solidFill>
              <w14:schemeClr w14:val="tx1"/>
            </w14:solidFill>
          </w14:textFill>
        </w:rPr>
        <w:t>新引进优质企业</w:t>
      </w:r>
      <w:r>
        <w:rPr>
          <w:rFonts w:hint="eastAsia" w:eastAsia="仿宋_GB2312"/>
          <w:color w:val="000000" w:themeColor="text1"/>
          <w:sz w:val="32"/>
          <w:szCs w:val="32"/>
          <w:highlight w:val="yellow"/>
          <w14:textFill>
            <w14:solidFill>
              <w14:schemeClr w14:val="tx1"/>
            </w14:solidFill>
          </w14:textFill>
        </w:rPr>
        <w:t>1</w:t>
      </w:r>
      <w:r>
        <w:rPr>
          <w:rFonts w:hint="eastAsia" w:eastAsia="仿宋_GB2312"/>
          <w:color w:val="000000" w:themeColor="text1"/>
          <w:sz w:val="32"/>
          <w:szCs w:val="32"/>
          <w:highlight w:val="yellow"/>
          <w:lang w:val="en-US" w:eastAsia="zh-CN"/>
          <w14:textFill>
            <w14:solidFill>
              <w14:schemeClr w14:val="tx1"/>
            </w14:solidFill>
          </w14:textFill>
        </w:rPr>
        <w:t>4</w:t>
      </w:r>
      <w:r>
        <w:rPr>
          <w:rFonts w:eastAsia="仿宋_GB2312"/>
          <w:color w:val="000000" w:themeColor="text1"/>
          <w:sz w:val="32"/>
          <w:szCs w:val="32"/>
          <w:highlight w:val="yellow"/>
          <w14:textFill>
            <w14:solidFill>
              <w14:schemeClr w14:val="tx1"/>
            </w14:solidFill>
          </w14:textFill>
        </w:rPr>
        <w:t>家，</w:t>
      </w:r>
      <w:r>
        <w:rPr>
          <w:rFonts w:eastAsia="仿宋_GB2312"/>
          <w:color w:val="000000" w:themeColor="text1"/>
          <w:sz w:val="32"/>
          <w:szCs w:val="32"/>
          <w:highlight w:val="none"/>
          <w14:textFill>
            <w14:solidFill>
              <w14:schemeClr w14:val="tx1"/>
            </w14:solidFill>
          </w14:textFill>
        </w:rPr>
        <w:t>在孵企业总数增至33家</w:t>
      </w:r>
      <w:r>
        <w:rPr>
          <w:rFonts w:hint="eastAsia" w:eastAsia="仿宋_GB2312"/>
          <w:color w:val="000000" w:themeColor="text1"/>
          <w:sz w:val="32"/>
          <w:szCs w:val="32"/>
          <w:highlight w:val="none"/>
          <w14:textFill>
            <w14:solidFill>
              <w14:schemeClr w14:val="tx1"/>
            </w14:solidFill>
          </w14:textFill>
        </w:rPr>
        <w:t>，其中一家成功获评科技型中小企业，实现了园区培育的新突破，</w:t>
      </w:r>
      <w:r>
        <w:rPr>
          <w:rFonts w:eastAsia="仿宋_GB2312"/>
          <w:color w:val="000000" w:themeColor="text1"/>
          <w:sz w:val="32"/>
          <w:szCs w:val="32"/>
          <w:highlight w:val="none"/>
          <w14:textFill>
            <w14:solidFill>
              <w14:schemeClr w14:val="tx1"/>
            </w14:solidFill>
          </w14:textFill>
        </w:rPr>
        <w:t>为学校技术创新、成果转化与人才培养提供稳定优质的实践平台与载体支撑。</w:t>
      </w:r>
    </w:p>
    <w:p w14:paraId="72A64759">
      <w:pPr>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2026年，科学技术处、产业技术研究院将继续围绕省高质量发展综合考核指标，以深化“双高协同”机制建设为主要抓手，聚焦省级以上科技平台培育、高水平团队建设、标志性奖项突破、高质量成果转化及关键领域科技攻关等核心任务，进一步强化科技管理与服务效能，优化产业技术协同创新机制，着力推动大学科技园提质增效，全面提升学校科研与社会服务整体水平，为学校高质量发展提供有力支撑。</w:t>
      </w:r>
    </w:p>
    <w:p w14:paraId="700C0D00">
      <w:pPr>
        <w:ind w:firstLine="640" w:firstLineChars="200"/>
        <w:rPr>
          <w:rFonts w:eastAsia="仿宋_GB2312"/>
          <w:color w:val="000000" w:themeColor="text1"/>
          <w:sz w:val="32"/>
          <w:szCs w:val="32"/>
          <w:highlight w:val="none"/>
          <w14:textFill>
            <w14:solidFill>
              <w14:schemeClr w14:val="tx1"/>
            </w14:solidFill>
          </w14:textFill>
        </w:rPr>
      </w:pPr>
    </w:p>
    <w:p w14:paraId="195BB9F4">
      <w:pPr>
        <w:ind w:firstLine="7040" w:firstLineChars="2200"/>
        <w:rPr>
          <w:rFonts w:hint="default" w:eastAsia="仿宋_GB2312"/>
          <w:color w:val="000000" w:themeColor="text1"/>
          <w:sz w:val="32"/>
          <w:szCs w:val="32"/>
          <w:highlight w:val="none"/>
          <w:lang w:val="en-US" w:eastAsia="zh-CN"/>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202</w:t>
      </w:r>
      <w:r>
        <w:rPr>
          <w:rFonts w:hint="eastAsia" w:eastAsia="仿宋_GB2312"/>
          <w:color w:val="000000" w:themeColor="text1"/>
          <w:sz w:val="32"/>
          <w:szCs w:val="32"/>
          <w:highlight w:val="none"/>
          <w:lang w:val="en-US" w:eastAsia="zh-CN"/>
          <w14:textFill>
            <w14:solidFill>
              <w14:schemeClr w14:val="tx1"/>
            </w14:solidFill>
          </w14:textFill>
        </w:rPr>
        <w:t>6</w:t>
      </w: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01</w:t>
      </w:r>
    </w:p>
    <w:p w14:paraId="6EF99057">
      <w:pPr>
        <w:ind w:firstLine="640" w:firstLineChars="200"/>
        <w:rPr>
          <w:rFonts w:eastAsia="仿宋_GB2312"/>
          <w:color w:val="000000" w:themeColor="text1"/>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E0000" w:usb2="00000000" w:usb3="00000000" w:csb0="00040000" w:csb1="00000000"/>
    <w:embedRegular r:id="rId1" w:fontKey="{720DCBF7-814C-4C0C-B2B8-9E1B05F8A341}"/>
  </w:font>
  <w:font w:name="仿宋_GB2312">
    <w:panose1 w:val="02010609030101010101"/>
    <w:charset w:val="86"/>
    <w:family w:val="modern"/>
    <w:pitch w:val="default"/>
    <w:sig w:usb0="00000001" w:usb1="080E0000" w:usb2="00000000" w:usb3="00000000" w:csb0="00040000" w:csb1="00000000"/>
    <w:embedRegular r:id="rId2" w:fontKey="{E090D8E7-FFCE-4F94-8ED5-FCAED89534D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AE6F8">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974699">
                          <w:pPr>
                            <w:pStyle w:val="1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4974699">
                    <w:pPr>
                      <w:pStyle w:val="1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BD9"/>
    <w:rsid w:val="001702DA"/>
    <w:rsid w:val="00363843"/>
    <w:rsid w:val="00367FB0"/>
    <w:rsid w:val="00416773"/>
    <w:rsid w:val="00446A4F"/>
    <w:rsid w:val="00460F80"/>
    <w:rsid w:val="00606520"/>
    <w:rsid w:val="00652529"/>
    <w:rsid w:val="00824CEE"/>
    <w:rsid w:val="00966856"/>
    <w:rsid w:val="009C1B16"/>
    <w:rsid w:val="009D6027"/>
    <w:rsid w:val="00A70BD9"/>
    <w:rsid w:val="00AE3767"/>
    <w:rsid w:val="00B1729E"/>
    <w:rsid w:val="00C23700"/>
    <w:rsid w:val="00C75332"/>
    <w:rsid w:val="00CA77B4"/>
    <w:rsid w:val="00CE4301"/>
    <w:rsid w:val="00D72607"/>
    <w:rsid w:val="00E94136"/>
    <w:rsid w:val="00F27802"/>
    <w:rsid w:val="00F62A43"/>
    <w:rsid w:val="00F758BF"/>
    <w:rsid w:val="00FD6F0D"/>
    <w:rsid w:val="02DC500A"/>
    <w:rsid w:val="03A04F32"/>
    <w:rsid w:val="03A72764"/>
    <w:rsid w:val="047235EA"/>
    <w:rsid w:val="05CA273A"/>
    <w:rsid w:val="07414C7E"/>
    <w:rsid w:val="079557E2"/>
    <w:rsid w:val="0AFF2E86"/>
    <w:rsid w:val="0BA5640E"/>
    <w:rsid w:val="0CCA74C4"/>
    <w:rsid w:val="0D2E2202"/>
    <w:rsid w:val="0D3037CB"/>
    <w:rsid w:val="130B6E96"/>
    <w:rsid w:val="15107A3E"/>
    <w:rsid w:val="15D46CBD"/>
    <w:rsid w:val="15F51962"/>
    <w:rsid w:val="174560C4"/>
    <w:rsid w:val="178A3AD7"/>
    <w:rsid w:val="1BAD346C"/>
    <w:rsid w:val="20342AF3"/>
    <w:rsid w:val="21A47E8B"/>
    <w:rsid w:val="23166B67"/>
    <w:rsid w:val="236F1FA4"/>
    <w:rsid w:val="26E825C8"/>
    <w:rsid w:val="29FF77DC"/>
    <w:rsid w:val="2A094D30"/>
    <w:rsid w:val="2B3109E2"/>
    <w:rsid w:val="2DAA4A7C"/>
    <w:rsid w:val="2E4473D8"/>
    <w:rsid w:val="312608BD"/>
    <w:rsid w:val="35DB0CDB"/>
    <w:rsid w:val="374C0952"/>
    <w:rsid w:val="377D0B0B"/>
    <w:rsid w:val="377E4FAF"/>
    <w:rsid w:val="410A7D34"/>
    <w:rsid w:val="445A2900"/>
    <w:rsid w:val="466408D7"/>
    <w:rsid w:val="4EA529C9"/>
    <w:rsid w:val="50681F00"/>
    <w:rsid w:val="5164091A"/>
    <w:rsid w:val="55207D39"/>
    <w:rsid w:val="55651104"/>
    <w:rsid w:val="563C00B7"/>
    <w:rsid w:val="56941CA1"/>
    <w:rsid w:val="56982E14"/>
    <w:rsid w:val="57DA7B88"/>
    <w:rsid w:val="58F4792B"/>
    <w:rsid w:val="591E7809"/>
    <w:rsid w:val="59E92304"/>
    <w:rsid w:val="5A0E1D6B"/>
    <w:rsid w:val="5A626832"/>
    <w:rsid w:val="5B157129"/>
    <w:rsid w:val="5BA67D81"/>
    <w:rsid w:val="5D6B3030"/>
    <w:rsid w:val="60085FDE"/>
    <w:rsid w:val="610C351E"/>
    <w:rsid w:val="63065CD5"/>
    <w:rsid w:val="636F3027"/>
    <w:rsid w:val="66552ACF"/>
    <w:rsid w:val="69AE677E"/>
    <w:rsid w:val="6A971908"/>
    <w:rsid w:val="71AF6290"/>
    <w:rsid w:val="75FC6AC3"/>
    <w:rsid w:val="780B56E4"/>
    <w:rsid w:val="786F3EB4"/>
    <w:rsid w:val="78E8332F"/>
    <w:rsid w:val="79701CA2"/>
    <w:rsid w:val="7C2D79D7"/>
    <w:rsid w:val="7E1E7F1F"/>
    <w:rsid w:val="7EA52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3">
    <w:name w:val="heading 2"/>
    <w:basedOn w:val="1"/>
    <w:next w:val="1"/>
    <w:link w:val="20"/>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4">
    <w:name w:val="heading 3"/>
    <w:basedOn w:val="1"/>
    <w:next w:val="1"/>
    <w:link w:val="21"/>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5">
    <w:name w:val="heading 4"/>
    <w:basedOn w:val="1"/>
    <w:next w:val="1"/>
    <w:link w:val="22"/>
    <w:semiHidden/>
    <w:unhideWhenUsed/>
    <w:qFormat/>
    <w:uiPriority w:val="9"/>
    <w:pPr>
      <w:keepNext/>
      <w:keepLines/>
      <w:spacing w:before="80" w:after="40" w:line="278" w:lineRule="auto"/>
      <w:jc w:val="left"/>
      <w:outlineLvl w:val="3"/>
    </w:pPr>
    <w:rPr>
      <w:rFonts w:asciiTheme="minorHAnsi" w:hAnsiTheme="minorHAnsi" w:eastAsiaTheme="minorEastAsia" w:cstheme="majorBidi"/>
      <w:color w:val="2F5597" w:themeColor="accent1" w:themeShade="BF"/>
      <w:sz w:val="28"/>
      <w:szCs w:val="28"/>
      <w14:ligatures w14:val="standardContextual"/>
    </w:rPr>
  </w:style>
  <w:style w:type="paragraph" w:styleId="6">
    <w:name w:val="heading 5"/>
    <w:basedOn w:val="1"/>
    <w:next w:val="1"/>
    <w:link w:val="23"/>
    <w:semiHidden/>
    <w:unhideWhenUsed/>
    <w:qFormat/>
    <w:uiPriority w:val="9"/>
    <w:pPr>
      <w:keepNext/>
      <w:keepLines/>
      <w:spacing w:before="80" w:after="40" w:line="278" w:lineRule="auto"/>
      <w:jc w:val="left"/>
      <w:outlineLvl w:val="4"/>
    </w:pPr>
    <w:rPr>
      <w:rFonts w:asciiTheme="minorHAnsi" w:hAnsiTheme="minorHAnsi" w:eastAsiaTheme="minorEastAsia" w:cstheme="majorBidi"/>
      <w:color w:val="2F5597" w:themeColor="accent1" w:themeShade="BF"/>
      <w:sz w:val="24"/>
      <w14:ligatures w14:val="standardContextual"/>
    </w:rPr>
  </w:style>
  <w:style w:type="paragraph" w:styleId="7">
    <w:name w:val="heading 6"/>
    <w:basedOn w:val="1"/>
    <w:next w:val="1"/>
    <w:link w:val="24"/>
    <w:semiHidden/>
    <w:unhideWhenUsed/>
    <w:qFormat/>
    <w:uiPriority w:val="9"/>
    <w:pPr>
      <w:keepNext/>
      <w:keepLines/>
      <w:spacing w:before="40" w:line="278" w:lineRule="auto"/>
      <w:jc w:val="left"/>
      <w:outlineLvl w:val="5"/>
    </w:pPr>
    <w:rPr>
      <w:rFonts w:asciiTheme="minorHAnsi" w:hAnsiTheme="minorHAnsi" w:eastAsiaTheme="minorEastAsia" w:cstheme="majorBidi"/>
      <w:b/>
      <w:bCs/>
      <w:color w:val="2F5597" w:themeColor="accent1" w:themeShade="BF"/>
      <w:sz w:val="22"/>
      <w14:ligatures w14:val="standardContextual"/>
    </w:rPr>
  </w:style>
  <w:style w:type="paragraph" w:styleId="8">
    <w:name w:val="heading 7"/>
    <w:basedOn w:val="1"/>
    <w:next w:val="1"/>
    <w:link w:val="25"/>
    <w:semiHidden/>
    <w:unhideWhenUsed/>
    <w:qFormat/>
    <w:uiPriority w:val="9"/>
    <w:pPr>
      <w:keepNext/>
      <w:keepLines/>
      <w:spacing w:before="40" w:line="278" w:lineRule="auto"/>
      <w:jc w:val="left"/>
      <w:outlineLvl w:val="6"/>
    </w:pPr>
    <w:rPr>
      <w:rFonts w:asciiTheme="minorHAnsi" w:hAnsiTheme="minorHAnsi" w:eastAsiaTheme="minorEastAsia"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6"/>
    <w:semiHidden/>
    <w:unhideWhenUsed/>
    <w:qFormat/>
    <w:uiPriority w:val="9"/>
    <w:pPr>
      <w:keepNext/>
      <w:keepLines/>
      <w:spacing w:line="278" w:lineRule="auto"/>
      <w:jc w:val="left"/>
      <w:outlineLvl w:val="7"/>
    </w:pPr>
    <w:rPr>
      <w:rFonts w:asciiTheme="minorHAnsi" w:hAnsiTheme="minorHAnsi" w:eastAsiaTheme="min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7"/>
    <w:semiHidden/>
    <w:unhideWhenUsed/>
    <w:qFormat/>
    <w:uiPriority w:val="9"/>
    <w:pPr>
      <w:keepNext/>
      <w:keepLines/>
      <w:spacing w:line="278" w:lineRule="auto"/>
      <w:jc w:val="left"/>
      <w:outlineLvl w:val="8"/>
    </w:pPr>
    <w:rPr>
      <w:rFonts w:asciiTheme="minorHAnsi" w:hAnsiTheme="minorHAnsi"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qFormat/>
    <w:uiPriority w:val="99"/>
    <w:pPr>
      <w:widowControl w:val="0"/>
      <w:adjustRightInd w:val="0"/>
      <w:spacing w:before="100" w:after="100" w:line="300" w:lineRule="auto"/>
      <w:ind w:firstLine="1044" w:firstLineChars="200"/>
      <w:jc w:val="both"/>
    </w:pPr>
    <w:rPr>
      <w:rFonts w:ascii="Times New Roman" w:hAnsi="Times New Roman" w:eastAsia="宋体" w:cs="Times New Roman"/>
      <w:kern w:val="2"/>
      <w:sz w:val="24"/>
      <w:szCs w:val="24"/>
      <w:lang w:val="en-US" w:eastAsia="zh-CN" w:bidi="ar-SA"/>
    </w:rPr>
  </w:style>
  <w:style w:type="paragraph" w:styleId="12">
    <w:name w:val="footer"/>
    <w:basedOn w:val="1"/>
    <w:link w:val="38"/>
    <w:unhideWhenUsed/>
    <w:qFormat/>
    <w:uiPriority w:val="99"/>
    <w:pPr>
      <w:tabs>
        <w:tab w:val="center" w:pos="4153"/>
        <w:tab w:val="right" w:pos="8306"/>
      </w:tabs>
      <w:snapToGrid w:val="0"/>
      <w:spacing w:after="160"/>
      <w:jc w:val="left"/>
    </w:pPr>
    <w:rPr>
      <w:rFonts w:asciiTheme="minorHAnsi" w:hAnsiTheme="minorHAnsi" w:eastAsiaTheme="minorEastAsia" w:cstheme="minorBidi"/>
      <w:sz w:val="18"/>
      <w:szCs w:val="18"/>
      <w14:ligatures w14:val="standardContextual"/>
    </w:rPr>
  </w:style>
  <w:style w:type="paragraph" w:styleId="13">
    <w:name w:val="header"/>
    <w:basedOn w:val="1"/>
    <w:link w:val="37"/>
    <w:unhideWhenUsed/>
    <w:qFormat/>
    <w:uiPriority w:val="99"/>
    <w:pPr>
      <w:tabs>
        <w:tab w:val="center" w:pos="4153"/>
        <w:tab w:val="right" w:pos="8306"/>
      </w:tabs>
      <w:snapToGrid w:val="0"/>
      <w:spacing w:after="160"/>
      <w:jc w:val="center"/>
    </w:pPr>
    <w:rPr>
      <w:rFonts w:asciiTheme="minorHAnsi" w:hAnsiTheme="minorHAnsi" w:eastAsiaTheme="minorEastAsia" w:cstheme="minorBidi"/>
      <w:sz w:val="18"/>
      <w:szCs w:val="18"/>
      <w14:ligatures w14:val="standardContextual"/>
    </w:rPr>
  </w:style>
  <w:style w:type="paragraph" w:styleId="14">
    <w:name w:val="Subtitle"/>
    <w:basedOn w:val="1"/>
    <w:next w:val="1"/>
    <w:link w:val="29"/>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styleId="18">
    <w:name w:val="Strong"/>
    <w:basedOn w:val="17"/>
    <w:qFormat/>
    <w:uiPriority w:val="22"/>
    <w:rPr>
      <w:b/>
    </w:rPr>
  </w:style>
  <w:style w:type="character" w:customStyle="1" w:styleId="19">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2">
    <w:name w:val="标题 4 字符"/>
    <w:basedOn w:val="17"/>
    <w:link w:val="5"/>
    <w:semiHidden/>
    <w:qFormat/>
    <w:uiPriority w:val="9"/>
    <w:rPr>
      <w:rFonts w:cstheme="majorBidi"/>
      <w:color w:val="2F5597" w:themeColor="accent1" w:themeShade="BF"/>
      <w:sz w:val="28"/>
      <w:szCs w:val="28"/>
    </w:rPr>
  </w:style>
  <w:style w:type="character" w:customStyle="1" w:styleId="23">
    <w:name w:val="标题 5 字符"/>
    <w:basedOn w:val="17"/>
    <w:link w:val="6"/>
    <w:semiHidden/>
    <w:qFormat/>
    <w:uiPriority w:val="9"/>
    <w:rPr>
      <w:rFonts w:cstheme="majorBidi"/>
      <w:color w:val="2F5597" w:themeColor="accent1" w:themeShade="BF"/>
      <w:sz w:val="24"/>
    </w:rPr>
  </w:style>
  <w:style w:type="character" w:customStyle="1" w:styleId="24">
    <w:name w:val="标题 6 字符"/>
    <w:basedOn w:val="17"/>
    <w:link w:val="7"/>
    <w:semiHidden/>
    <w:qFormat/>
    <w:uiPriority w:val="9"/>
    <w:rPr>
      <w:rFonts w:cstheme="majorBidi"/>
      <w:b/>
      <w:bCs/>
      <w:color w:val="2F5597"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line="278" w:lineRule="auto"/>
      <w:jc w:val="center"/>
    </w:pPr>
    <w:rPr>
      <w:rFonts w:asciiTheme="minorHAnsi" w:hAnsiTheme="minorHAnsi" w:eastAsiaTheme="minorEastAsia" w:cstheme="minorBidi"/>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spacing w:after="160" w:line="278" w:lineRule="auto"/>
      <w:ind w:left="720"/>
      <w:contextualSpacing/>
      <w:jc w:val="left"/>
    </w:pPr>
    <w:rPr>
      <w:rFonts w:asciiTheme="minorHAnsi" w:hAnsiTheme="minorHAnsi" w:eastAsiaTheme="minorEastAsia" w:cstheme="minorBidi"/>
      <w:sz w:val="22"/>
      <w14:ligatures w14:val="standardContextual"/>
    </w:rPr>
  </w:style>
  <w:style w:type="character" w:customStyle="1" w:styleId="33">
    <w:name w:val="明显强调1"/>
    <w:basedOn w:val="17"/>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rFonts w:asciiTheme="minorHAnsi" w:hAnsiTheme="minorHAnsi" w:eastAsiaTheme="minorEastAsia" w:cstheme="minorBidi"/>
      <w:i/>
      <w:iCs/>
      <w:color w:val="2F5597" w:themeColor="accent1" w:themeShade="BF"/>
      <w:sz w:val="22"/>
      <w14:ligatures w14:val="standardContextual"/>
    </w:rPr>
  </w:style>
  <w:style w:type="character" w:customStyle="1" w:styleId="35">
    <w:name w:val="明显引用 字符"/>
    <w:basedOn w:val="17"/>
    <w:link w:val="34"/>
    <w:qFormat/>
    <w:uiPriority w:val="30"/>
    <w:rPr>
      <w:i/>
      <w:iCs/>
      <w:color w:val="2F5597" w:themeColor="accent1" w:themeShade="BF"/>
    </w:rPr>
  </w:style>
  <w:style w:type="character" w:customStyle="1" w:styleId="36">
    <w:name w:val="明显参考1"/>
    <w:basedOn w:val="17"/>
    <w:qFormat/>
    <w:uiPriority w:val="32"/>
    <w:rPr>
      <w:b/>
      <w:bCs/>
      <w:smallCaps/>
      <w:color w:val="2F5597" w:themeColor="accent1" w:themeShade="BF"/>
      <w:spacing w:val="5"/>
    </w:rPr>
  </w:style>
  <w:style w:type="character" w:customStyle="1" w:styleId="37">
    <w:name w:val="页眉 字符"/>
    <w:basedOn w:val="17"/>
    <w:link w:val="13"/>
    <w:qFormat/>
    <w:uiPriority w:val="99"/>
    <w:rPr>
      <w:sz w:val="18"/>
      <w:szCs w:val="18"/>
    </w:rPr>
  </w:style>
  <w:style w:type="character" w:customStyle="1" w:styleId="38">
    <w:name w:val="页脚 字符"/>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4787</Words>
  <Characters>4918</Characters>
  <Lines>35</Lines>
  <Paragraphs>9</Paragraphs>
  <TotalTime>184</TotalTime>
  <ScaleCrop>false</ScaleCrop>
  <LinksUpToDate>false</LinksUpToDate>
  <CharactersWithSpaces>4934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2026-01-08T06:46:00Z</dcterms:created>
  <dc:creator>李锋</dc:creator>
  <cp:lastModifiedBy>。</cp:lastModifiedBy>
  <dcterms:modified xsi:type="dcterms:W3CDTF">2026-01-13T09:45:27Z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eyJoZGlkIjoiN2M3MzdlMGFmYWI2NDA0ZjBmNjNmZjMyOTMyNDY4OTIiLCJ1c2VySWQiOiI2MjU0NTYyNTQifQ==</vt:lpwstr>
  </property>
  <property fmtid="{D5CDD505-2E9C-101B-9397-08002B2CF9AE}" pid="3" name="KSOProductBuildVer">
    <vt:lpwstr>2052-12.1.0.24034</vt:lpwstr>
  </property>
  <property fmtid="{D5CDD505-2E9C-101B-9397-08002B2CF9AE}" pid="4" name="ICV">
    <vt:lpwstr>82723E64DE844F6CB425D603D7437ECE_12</vt:lpwstr>
  </property>
</Properties>
</file>